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865385" w14:textId="77777777" w:rsidR="00387087" w:rsidRDefault="00387087" w:rsidP="00387087">
      <w:pPr>
        <w:spacing w:line="240" w:lineRule="auto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 xml:space="preserve">Como encontrar o preço alvo de uma ação? Um case prático: </w:t>
      </w:r>
      <w:proofErr w:type="spellStart"/>
      <w:r w:rsidRPr="00A937A5">
        <w:rPr>
          <w:rFonts w:asciiTheme="majorHAnsi" w:eastAsiaTheme="majorEastAsia" w:hAnsiTheme="majorHAnsi" w:cstheme="majorBidi"/>
          <w:i/>
          <w:iCs/>
          <w:color w:val="2F5496" w:themeColor="accent1" w:themeShade="BF"/>
          <w:sz w:val="28"/>
          <w:szCs w:val="28"/>
        </w:rPr>
        <w:t>valuation</w:t>
      </w:r>
      <w:proofErr w:type="spellEnd"/>
      <w: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 xml:space="preserve"> de PETZ3. </w:t>
      </w:r>
    </w:p>
    <w:p w14:paraId="66A3F017" w14:textId="77777777" w:rsidR="00444D61" w:rsidRDefault="00A3393B" w:rsidP="00444D61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proofErr w:type="spellStart"/>
      <w:r w:rsidRPr="00A3393B">
        <w:rPr>
          <w:rFonts w:asciiTheme="minorHAnsi" w:eastAsiaTheme="minorHAnsi" w:hAnsiTheme="minorHAnsi" w:cstheme="minorBidi"/>
          <w:b/>
          <w:i/>
          <w:lang w:eastAsia="en-US"/>
        </w:rPr>
        <w:t>Petz</w:t>
      </w:r>
      <w:proofErr w:type="spellEnd"/>
      <w:r w:rsidRPr="00A3393B">
        <w:rPr>
          <w:rFonts w:asciiTheme="minorHAnsi" w:eastAsiaTheme="minorHAnsi" w:hAnsiTheme="minorHAnsi" w:cstheme="minorBidi"/>
          <w:b/>
          <w:i/>
          <w:lang w:eastAsia="en-US"/>
        </w:rPr>
        <w:t xml:space="preserve"> é a primeira empresa do setor de varejo para animais a ser listada na bolsa de valores brasileira. Como avaliar se é uma boa oportunidade para investimento?</w:t>
      </w:r>
    </w:p>
    <w:p w14:paraId="1C1206CC" w14:textId="6B02D4A0" w:rsidR="001A7D30" w:rsidRPr="00444D61" w:rsidRDefault="00444D61" w:rsidP="00444D61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444D61">
        <w:rPr>
          <w:rFonts w:asciiTheme="minorHAnsi" w:eastAsiaTheme="minorHAnsi" w:hAnsiTheme="minorHAnsi" w:cstheme="minorBidi"/>
          <w:b/>
          <w:i/>
          <w:lang w:eastAsia="en-US"/>
        </w:rPr>
        <w:t xml:space="preserve">*Carlos Heitor Campani, Ph.D. em colaboração com Fabio </w:t>
      </w:r>
      <w:proofErr w:type="spellStart"/>
      <w:r w:rsidRPr="00444D61">
        <w:rPr>
          <w:rFonts w:asciiTheme="minorHAnsi" w:eastAsiaTheme="minorHAnsi" w:hAnsiTheme="minorHAnsi" w:cstheme="minorBidi"/>
          <w:b/>
          <w:i/>
          <w:lang w:eastAsia="en-US"/>
        </w:rPr>
        <w:t>Civiletti</w:t>
      </w:r>
      <w:proofErr w:type="spellEnd"/>
      <w:r w:rsidRPr="00444D61">
        <w:rPr>
          <w:rFonts w:asciiTheme="minorHAnsi" w:eastAsiaTheme="minorHAnsi" w:hAnsiTheme="minorHAnsi" w:cstheme="minorBidi"/>
          <w:b/>
          <w:i/>
          <w:lang w:eastAsia="en-US"/>
        </w:rPr>
        <w:t xml:space="preserve">, </w:t>
      </w:r>
      <w:proofErr w:type="spellStart"/>
      <w:r w:rsidRPr="00444D61">
        <w:rPr>
          <w:rFonts w:asciiTheme="minorHAnsi" w:eastAsiaTheme="minorHAnsi" w:hAnsiTheme="minorHAnsi" w:cstheme="minorBidi"/>
          <w:b/>
          <w:i/>
          <w:lang w:eastAsia="en-US"/>
        </w:rPr>
        <w:t>M.Sc</w:t>
      </w:r>
      <w:proofErr w:type="spellEnd"/>
      <w:r w:rsidRPr="00444D61">
        <w:rPr>
          <w:rFonts w:asciiTheme="minorHAnsi" w:eastAsiaTheme="minorHAnsi" w:hAnsiTheme="minorHAnsi" w:cstheme="minorBidi"/>
          <w:b/>
          <w:i/>
          <w:lang w:eastAsia="en-US"/>
        </w:rPr>
        <w:t xml:space="preserve">. e Victor Lago, </w:t>
      </w:r>
      <w:proofErr w:type="spellStart"/>
      <w:r w:rsidRPr="00444D61">
        <w:rPr>
          <w:rFonts w:asciiTheme="minorHAnsi" w:eastAsiaTheme="minorHAnsi" w:hAnsiTheme="minorHAnsi" w:cstheme="minorBidi"/>
          <w:b/>
          <w:i/>
          <w:lang w:eastAsia="en-US"/>
        </w:rPr>
        <w:t>M.Sc</w:t>
      </w:r>
      <w:proofErr w:type="spellEnd"/>
      <w:r w:rsidRPr="00444D61">
        <w:rPr>
          <w:rFonts w:asciiTheme="minorHAnsi" w:eastAsiaTheme="minorHAnsi" w:hAnsiTheme="minorHAnsi" w:cstheme="minorBidi"/>
          <w:b/>
          <w:i/>
          <w:lang w:eastAsia="en-US"/>
        </w:rPr>
        <w:t>.</w:t>
      </w:r>
    </w:p>
    <w:p w14:paraId="0BC7897A" w14:textId="77777777" w:rsidR="00444D61" w:rsidRDefault="00444D61" w:rsidP="0031543E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AE51507" w14:textId="314A7DD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Olá, pessoal. O artigo de hoje foi construído em conjunto com Fabio </w:t>
      </w:r>
      <w:proofErr w:type="spellStart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>Civiletti</w:t>
      </w:r>
      <w:proofErr w:type="spellEnd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(Diretor Executivo da </w:t>
      </w:r>
      <w:proofErr w:type="spellStart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>iluminus</w:t>
      </w:r>
      <w:proofErr w:type="spellEnd"/>
      <w:r w:rsidR="0025022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– Academia de Finanças</w:t>
      </w: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) e Victor Lago (@victorlagoa). Ambos são Mestres em Finanças pela </w:t>
      </w:r>
      <w:proofErr w:type="spellStart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>Université</w:t>
      </w:r>
      <w:proofErr w:type="spellEnd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Bordeaux (França) e foram meus orientados quando recebi o convite para atuar como professor visitante desta instituição em 2019.</w:t>
      </w:r>
    </w:p>
    <w:p w14:paraId="4164B131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EEE842F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Em conversas recentes, discutíamos como a valoração de empresas é um tema ainda nebuloso para muitos investidores, até mesmo para grande parte dos que já possuem boa parcela de experiência no mercado financeiro. Assim nasceu a motivação para escrevermos este artigo, no qual buscamos apresentar um processo de </w:t>
      </w:r>
      <w:proofErr w:type="spellStart"/>
      <w:r w:rsidRPr="00E33388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proofErr w:type="spellEnd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forma didática e educativa. Não temos pretensão de indicar por meio desta análise qualquer tipo de recomendação quanto a compra ou venda de ações da companhia, mas, sim, guiar o leitor por um processo real de valoração. Naturalmente, as premissas do estudo não foram minuciosamente estressadas como seriam caso a análise tivesse outros fins, tendo em vista que tornaria a leitura muito mais árdua com pouco valor adicional ao leitor, já que temos o objetivo específico de sermos didáticos e compartilhar como se dá um processo de </w:t>
      </w:r>
      <w:proofErr w:type="spellStart"/>
      <w:r w:rsidRPr="00E33388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proofErr w:type="spellEnd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na prática.</w:t>
      </w:r>
    </w:p>
    <w:p w14:paraId="2F51E1AE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34BAB8C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>Ademais, cabe destacar que existem algumas metodologias possivelmente aplicáveis para valoração de uma empresa. Aqui, optamos por utilizar o método do fluxo de caixa descontado, segundo o qual fluxos de caixa futuros são estimados e trazidos a valor presente por meio de uma taxa de desconto adequada ao risco e à estrutura de capital do negócio. Tal escolha foi embasada pelo fato de se tratar da ferramenta mais utilizada pelo mercado, dentre as disponíveis, além de ser respaldada pela teoria.</w:t>
      </w:r>
    </w:p>
    <w:p w14:paraId="390103CF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Para ilustrar esse trabalho, escolhemos a empresa </w:t>
      </w:r>
      <w:proofErr w:type="spellStart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>Petz</w:t>
      </w:r>
      <w:proofErr w:type="spellEnd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(PETZ3), maior rede de pet shops do Brasil e especializada em serviços e venda de produtos para animais de estimação. A </w:t>
      </w: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 xml:space="preserve">companhia foi fundada em 2002 e, desde então, vem demonstrando crescimento sólido nesse mercado, tendo, inclusive, sido a primeira empresa do setor a abrir capital na bolsa de valores brasileira (2020). A seguir, apresentamos o exercício de </w:t>
      </w:r>
      <w:proofErr w:type="spellStart"/>
      <w:r w:rsidRPr="00E33388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proofErr w:type="spellEnd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em tópicos, para guiar o leitor ao longo das principais etapas da análise.</w:t>
      </w:r>
    </w:p>
    <w:p w14:paraId="76FBF00A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3A34B9A7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PREMISSAS GERAIS</w:t>
      </w:r>
    </w:p>
    <w:p w14:paraId="13C305A0" w14:textId="77777777" w:rsidR="00E33388" w:rsidRPr="00E33388" w:rsidRDefault="00E33388" w:rsidP="00E33388">
      <w:pPr>
        <w:numPr>
          <w:ilvl w:val="0"/>
          <w:numId w:val="19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>Optou-se pela projeção dos fluxos de caixa livres oriundos dos ativos da empresa em base anual. Assumiu-se que tais fluxos estão efetivamente disponíveis no último dia dos respectivos anos;</w:t>
      </w:r>
    </w:p>
    <w:p w14:paraId="3BBB8951" w14:textId="77777777" w:rsidR="00E33388" w:rsidRPr="00E33388" w:rsidRDefault="00E33388" w:rsidP="00E33388">
      <w:pPr>
        <w:numPr>
          <w:ilvl w:val="0"/>
          <w:numId w:val="19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>Tomou-se como data-base do estudo o dia 1º de agosto de 2022, logo, foram considerados os dados históricos da empresa até o fim de 2021 para as projeções futuras;</w:t>
      </w:r>
    </w:p>
    <w:p w14:paraId="248FB920" w14:textId="77777777" w:rsidR="00E33388" w:rsidRPr="00E33388" w:rsidRDefault="00E33388" w:rsidP="00E33388">
      <w:pPr>
        <w:numPr>
          <w:ilvl w:val="0"/>
          <w:numId w:val="19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>Todas as projeções foram realizadas em reais nominais, ou seja, considerando efeitos inflacionários na moeda brasileira;</w:t>
      </w:r>
    </w:p>
    <w:p w14:paraId="38BDCC27" w14:textId="77777777" w:rsidR="00E33388" w:rsidRPr="00E33388" w:rsidRDefault="00E33388" w:rsidP="00E33388">
      <w:pPr>
        <w:numPr>
          <w:ilvl w:val="0"/>
          <w:numId w:val="19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>Considerou-se uma inflação de longo prazo de 3% ao ano, em linha com o Relatório Focus (Banco Central) e com as projeções dos principais bancos nacionais;</w:t>
      </w:r>
    </w:p>
    <w:p w14:paraId="644DD19A" w14:textId="77777777" w:rsidR="00E33388" w:rsidRPr="00E33388" w:rsidRDefault="00E33388" w:rsidP="00E33388">
      <w:pPr>
        <w:numPr>
          <w:ilvl w:val="0"/>
          <w:numId w:val="19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>O horizonte explícito definido para as projeções foi de 10 anos. A partir daí, considerou-se um crescimento perpétuo em linha com a inflação de longo prazo (isto é, sem crescimento real);</w:t>
      </w:r>
    </w:p>
    <w:p w14:paraId="186EEE32" w14:textId="77777777" w:rsidR="00E33388" w:rsidRPr="00E33388" w:rsidRDefault="00E33388" w:rsidP="00E33388">
      <w:pPr>
        <w:numPr>
          <w:ilvl w:val="0"/>
          <w:numId w:val="19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Grande parte das projeções futuras foi pautada no histórico da empresa, em específico, nas demonstrações financeiras publicamente disponíveis e acessáveis por meio do website da companhia. </w:t>
      </w:r>
    </w:p>
    <w:p w14:paraId="72B4A131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1698DB60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RECEITAS</w:t>
      </w:r>
    </w:p>
    <w:p w14:paraId="0124AE0C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>Atualmente, a empresa possui sua receita distribuída em duas principais linhas: produtos (95,4% em 2021) e serviços/demais (4,6% em 2021). Como premissa para embasar as projeções futuras, assumimos que essa distribuição se manterá ao longo dos próximos anos.</w:t>
      </w:r>
    </w:p>
    <w:p w14:paraId="7735B05D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Dentro da linha de produtos existe uma segregação entre venda física (68,2% em 2021) e venda digital (31,8% em 2021). Dado que a venda digital tem aumentado sua </w:t>
      </w: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representatividade ao longo dos anos, supomos que o impacto de tal categoria tenderá a manter esse crescimento nos anos vindouros, seguindo a seguinte lógica: 40% em 2022, 45% em 2023 e 50% nos demais anos da projeção.</w:t>
      </w:r>
    </w:p>
    <w:p w14:paraId="61BBCDDB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>Com isso, nos restou projetar o crescimento da venda física de produtos, haja vista que as demais linhas seriam projetadas de forma indireta frente às demais premissas supracitadas. Para isso, avaliamos o histórico de vendas físicas, que aponta para um crescimento médio de 26,4% ao ano nos 4 anos mais recentes. Para o futuro, supomos que essa mesma taxa de crescimento será mantida ao longo dos próximos 3 anos, decrescendo a partir daí, de acordo com a seguinte lógica: 20% de 2025 a 2027, 10% de 2028 a 2030 e 5% em 2031. Para projetarmos as receitas líquidas da empresa, consideramos que os impostos e outras deduções representarão 15,1% da receita bruta, tal qual ocorreu em 2021.</w:t>
      </w:r>
    </w:p>
    <w:p w14:paraId="7CD5297D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8A5A5EF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CUSTO DO PRODUTO VENDIDO (CPV)</w:t>
      </w:r>
    </w:p>
    <w:p w14:paraId="25DB8FAD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Historicamente, o custo do produto vendido (CPV) da </w:t>
      </w:r>
      <w:proofErr w:type="spellStart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>Petz</w:t>
      </w:r>
      <w:proofErr w:type="spellEnd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é estável, se comparado com a receita líquida do respectivo ano. Nos três anos mais recentes, o CPV representou cerca de 51,7% da receita líquida. Sendo assim, neste exercício consideramos que tal percentual será mantido no futuro, isto é, sem considerar qualquer ganho de eficiência para os próximos anos.</w:t>
      </w:r>
    </w:p>
    <w:p w14:paraId="7323AF1E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B0218D8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DESPESAS</w:t>
      </w:r>
    </w:p>
    <w:p w14:paraId="5A7FF58D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Para projetarmos as despesas da </w:t>
      </w:r>
      <w:proofErr w:type="spellStart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>Petz</w:t>
      </w:r>
      <w:proofErr w:type="spellEnd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>, também consideramos o histórico dos últimos 3 anos. Ao avaliar esse período, verificamos que em média as despesas representam 29,8% das receitas líquidas dos respectivos anos. Nessa linha, foi considerado um ganho de eficiência para o futuro (para ilustrar com os ganhos de escala podem se manifestar), ficando a projeção da seguinte maneira: 29,8% de 2022 a 2024 e 25% de 2025 a 2031.</w:t>
      </w:r>
    </w:p>
    <w:p w14:paraId="79FC0F51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5E4823F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DEPRECIAÇÃO E AMORTIZAÇÃO</w:t>
      </w:r>
    </w:p>
    <w:p w14:paraId="3A65936A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Historicamente, as despesas com depreciação e amortização encontram-se na faixa de 4% da receita operacional líquida do respectivo ano. Logo, optamos por adotar esse mesmo valor para todos os anos do modelo. Aqui, vale ressaltar que há outras formas de projetar essa linha </w:t>
      </w: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(como, por exemplo, projetando os ativos depreciáveis/amortizáveis da empresa e o calendário de depreciação), entretanto, optou-se por essa premissa mais simples, novamente por se tratar de um modelo construído para fins educacionais.</w:t>
      </w:r>
    </w:p>
    <w:p w14:paraId="65D50BE4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3936277C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INVESTIMENTO</w:t>
      </w:r>
    </w:p>
    <w:p w14:paraId="6D958AF9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Como o forte crescimento da </w:t>
      </w:r>
      <w:proofErr w:type="spellStart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>Petz</w:t>
      </w:r>
      <w:proofErr w:type="spellEnd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está pautado majoritariamente pela inauguração de novas lojas, para projeção dos investimentos, focamos nessa frente. A premissa aqui foi a seguinte: avaliou-se quanto, em média (3 anos mais recentes), cada loja da </w:t>
      </w:r>
      <w:proofErr w:type="spellStart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>Petz</w:t>
      </w:r>
      <w:proofErr w:type="spellEnd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fatura historicamente (dividindo-se o número de lojas de cada ano pelo faturamento total daquele respectivo ano). A partir daí, foi possível estimar quantas lojas serão necessárias para suportar a receita previamente projetada para os anos vindouros. Já para o valor necessário para construção de uma loja, consideramos o ano de 2021 como base. Avaliando-se as demonstrações financeiras da companhia, foi possível verificar que foram abertas 35 novas lojas ao longo de 2021, ano em que o investimento totalizou R$ 328,5 milhões. Por essa métrica, estima-se um investimento total de R$ 9,4 milhões por cada nova loja, decorrentes de investimentos diretos e indiretos na nova unidade. O gasto para viabilizar cada nova loja foi corrigido anualmente, com base na inflação projetada pelo Relatório Focus. Multiplicando-se o número de novas lojas necessárias por este valor, obtemos uma estimativa do investimento necessário por parte da companhia.</w:t>
      </w:r>
    </w:p>
    <w:p w14:paraId="1D0164E0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5987A6F0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NECESSIDADE DE CAPITAL DE GIRO</w:t>
      </w:r>
    </w:p>
    <w:p w14:paraId="441C1C8E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>Por se tratar de uma projeção de fluxos de caixa livres para a firma, se faz mister projetar a variação da quantidade de capital de giro necessária para que a empresa se mantenha operacional ano após ano. É neste momento que podemos ter ciência do quanto um ciclo de caixa saudável pode afetar o valor de uma empresa. Para tal, buscamos projetar o ativo circulante e o passivo circulante da empresa, adotando uma simplificação: considerou-se o ativo circulante igual à soma das contas a receber e dos estoques da firma, enquanto considerou-se o passivo circulante igual às contas a pagar. Para projetar tais linhas, considerou-se os prazos médios de contas a receber, estoques e contas a pagar iguais àqueles apresentados pela companhia em 2021.</w:t>
      </w:r>
    </w:p>
    <w:p w14:paraId="0580457D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24F66DFB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TAXA DE DESCONTO (WACC)</w:t>
      </w:r>
    </w:p>
    <w:p w14:paraId="1CE5F80C" w14:textId="63D0FCF3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Como neste modelo optou-se por projetar os fluxos de caixa livres para a firma (e não para o acionista), a taxa de desconto utilizada para trazer tais fluxos a valor presente deve ser composta por duas parcelas – a primeira com foco em remunerar o acionista e a segunda focada em remunerar o credor. Aqui, utilizou-se a metodologia do </w:t>
      </w:r>
      <w:r w:rsidRPr="00E33388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WACC </w:t>
      </w: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>(</w:t>
      </w:r>
      <w:proofErr w:type="spellStart"/>
      <w:r w:rsidRPr="00E33388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Weighted</w:t>
      </w:r>
      <w:proofErr w:type="spellEnd"/>
      <w:r w:rsidRPr="00E33388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proofErr w:type="spellStart"/>
      <w:r w:rsidRPr="00E33388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Average</w:t>
      </w:r>
      <w:proofErr w:type="spellEnd"/>
      <w:r w:rsidRPr="00E33388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Capital </w:t>
      </w:r>
      <w:proofErr w:type="spellStart"/>
      <w:r w:rsidRPr="00E33388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Cost</w:t>
      </w:r>
      <w:proofErr w:type="spellEnd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), bem aceita pela academia e amplamente utilizada pelo mercado. Como indica o próprio nome, trata-se de uma média ponderada entre as duas taxas supracitadas, sendo a ponderação realizada com base na estrutura de capital da firma. Aqui, cabe ressaltar uma das fragilidades do WACC: a possibilidade de a estrutura de capital da empresa variar ao longo do tempo. Para o caso de empresas já em regime de estabilidade esse risco é menor, enquanto para empresas em crescimento tal ponto é mais sensível. Como a </w:t>
      </w:r>
      <w:proofErr w:type="spellStart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>Petz</w:t>
      </w:r>
      <w:proofErr w:type="spellEnd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se enquadra nesse segundo grupo, optamos por utilizar a estrutura típica do setor de varejo (61% de capital próprio, 39% de capital de terceiros), supondo que essa estrutura média do setor representa um ponto ótimo, para o qual as empresas tendem a convergir.</w:t>
      </w:r>
    </w:p>
    <w:p w14:paraId="3D69B13C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AC13293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próximo passo foi calcular o custo do capital dos sócios (22,8% a.a.) e o custo do capital de terceiros (15,5% a.a.). No caso do capital dos sócios, calculamos utilizando a tradicional metodologia do Capital </w:t>
      </w:r>
      <w:proofErr w:type="spellStart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>Asset</w:t>
      </w:r>
      <w:proofErr w:type="spellEnd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proofErr w:type="spellStart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>Pricing</w:t>
      </w:r>
      <w:proofErr w:type="spellEnd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Model (CAPM), adicionando ainda um prêmio de risco de tamanho por se tratar de uma </w:t>
      </w:r>
      <w:proofErr w:type="spellStart"/>
      <w:r w:rsidRPr="00E33388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small</w:t>
      </w:r>
      <w:proofErr w:type="spellEnd"/>
      <w:r w:rsidRPr="00E33388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cap</w:t>
      </w: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Já para o custo do capital de terceiros, consideramos o custo de captação das atuais dívidas da empresa, disponível nas notas explicativas das demonstrações financeiras. </w:t>
      </w:r>
      <w:r w:rsidRPr="00E33388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Ao se incluir o benefício fiscal no racional, encontramos um custo de capital médio ponderado de 17,9% ao ano, taxa essa que será utilizada para descontar o fluxo de caixa livre dos ativos da empresa.</w:t>
      </w:r>
    </w:p>
    <w:p w14:paraId="00BDFAD6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134C9785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RESULTADO E ANÁLISE DE SENSIBILIDADE</w:t>
      </w:r>
    </w:p>
    <w:p w14:paraId="7C5D907F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>Trazendo os fluxos de caixa projetados para o futuro a valor presente pelo WACC calculado, encontramos um valor de firma (“</w:t>
      </w:r>
      <w:proofErr w:type="spellStart"/>
      <w:r w:rsidRPr="00E33388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enterprise</w:t>
      </w:r>
      <w:proofErr w:type="spellEnd"/>
      <w:r w:rsidRPr="00E33388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proofErr w:type="spellStart"/>
      <w:r w:rsidRPr="00E33388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value</w:t>
      </w:r>
      <w:proofErr w:type="spellEnd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>”) igual a R$ 5,66 bilhões. Para chegar ao valor de mercado (“</w:t>
      </w:r>
      <w:proofErr w:type="spellStart"/>
      <w:r w:rsidRPr="00E33388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market</w:t>
      </w:r>
      <w:proofErr w:type="spellEnd"/>
      <w:r w:rsidRPr="00E33388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cap</w:t>
      </w: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”), abatemos a dívida líquida desse valor. A dívida líquida é igual à dívida bruta da companhia menos o caixa efetivamente disponível. Haja vista que a </w:t>
      </w:r>
      <w:proofErr w:type="spellStart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>Petz</w:t>
      </w:r>
      <w:proofErr w:type="spellEnd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é </w:t>
      </w: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 xml:space="preserve">uma empresa em regime de crescimento, optamos, de forma conservadora, por considerar caixa nulo, isto é, que o montante que a empresa possui atualmente em caixa será utilizado para que a firma atinja seus objetivos futuros e, portanto, não pode ser distribuído. </w:t>
      </w:r>
    </w:p>
    <w:p w14:paraId="2C7D52E9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EE26CC4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Com isso, chegamos a um valor de mercado de R$ 5,49 bilhões, o qual dividido pelo número de ações da empresa (458.835.692) resulta em um preço por ação de R$ 11,96</w:t>
      </w: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</w:t>
      </w:r>
      <w:r w:rsidRPr="00E33388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Como referência, ao finalizar este artigo, o valor da ação da companhia se encontrava na faixa dos R$ 10,70, indicando que </w:t>
      </w:r>
      <w:proofErr w:type="gramStart"/>
      <w:r w:rsidRPr="00E33388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a mesma</w:t>
      </w:r>
      <w:proofErr w:type="gramEnd"/>
      <w:r w:rsidRPr="00E33388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 pode estar ligeiramente descontada pela maior aversão a risco devido ao atual momento da economia brasileira e global, o que acaba por gerar uma taxa de desconto (WACC) maior.</w:t>
      </w:r>
    </w:p>
    <w:p w14:paraId="2F7376EB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BA5D56E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Muitas pessoas poderiam achar que o processo de </w:t>
      </w:r>
      <w:proofErr w:type="spellStart"/>
      <w:r w:rsidRPr="00E33388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proofErr w:type="spellEnd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fosse uma ciência exata, apontando para um valor único atrelado ao ativo valorado. Nesse exemplo ilustrativo, buscamos mostrar que o processo é subjetivo, visto que depende de premissas que certamente carregarão as expectativas do avaliador em algum momento. Entretanto, existem algumas ferramentas que possibilitam a redução dessa subjetividade. Uma das principais é a análise de sensibilidade, segundo a qual estudamos o impacto de choques nas principais variáveis e avaliamos como o resultado do modelo se comporta. Isso permite que o avaliador encontre não um valor específico, mas, sim, uma faixa de valores para a firma em uma espécie de intervalo de confiança. Isso ajuda, e muito, a perceber o risco atrelado ao ativo analisado. Quanto maior a incerteza, maior o risco.</w:t>
      </w:r>
    </w:p>
    <w:p w14:paraId="23F9E8C7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Para este exemplo, a título novamente ilustrativo, realizamos uma análise envolvendo duas variáveis: taxa de crescimento na perpetuidade acima da inflação (g) e a taxa de desconto (WACC). Escolhemos essas variáveis para mostrar como o valor de uma empresa pode ser impactado tanto por variáveis endógenas (eficiência operacional, por exemplo) quanto exógenas (taxa livre de risco, câmbio, inflação </w:t>
      </w:r>
      <w:r w:rsidRPr="00E33388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etc.</w:t>
      </w: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). Não obstante, cabe ressaltar que, em um relatório de </w:t>
      </w:r>
      <w:proofErr w:type="spellStart"/>
      <w:r w:rsidRPr="00E33388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proofErr w:type="spellEnd"/>
      <w:r w:rsidRPr="00E33388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, </w:t>
      </w: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>uma análise de sensibilidade como essa deve ser sempre utilizada de forma cirúrgica para que não gere um volume de informações que acabe por confundir (e não ajudar) o tomador de decisão (investidor, gestor etc.). A tabela a seguir mostra como o preço por ação se comporta em cada um dos cenários.</w:t>
      </w:r>
    </w:p>
    <w:p w14:paraId="4563F209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 xml:space="preserve"> </w:t>
      </w:r>
      <w:r w:rsidRPr="00E33388">
        <w:rPr>
          <w:rFonts w:asciiTheme="minorHAnsi" w:eastAsiaTheme="minorHAnsi" w:hAnsiTheme="minorHAnsi" w:cstheme="minorBidi"/>
          <w:noProof/>
          <w:color w:val="000000" w:themeColor="text1"/>
          <w:lang w:val="en-US" w:eastAsia="en-US"/>
        </w:rPr>
        <w:drawing>
          <wp:inline distT="0" distB="0" distL="0" distR="0" wp14:anchorId="30C2C859" wp14:editId="3B8CDB78">
            <wp:extent cx="5612130" cy="1156970"/>
            <wp:effectExtent l="0" t="0" r="7620" b="5080"/>
            <wp:docPr id="1994904075" name="Imagem 1994904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911A5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C36C0A1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Percebam que essa análise já abarcaria o preço atual da ação no mercado, reforçando que a decisão quanto a comprar ou vender a ação é sensível às premissas adotadas, bem como à aversão a risco do investidor (e prêmio de risco exigido). Com um WACC ligeiramente superior (por maior aversão a risco) de 19% ao ano, este </w:t>
      </w:r>
      <w:proofErr w:type="spellStart"/>
      <w:r w:rsidRPr="00E33388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proofErr w:type="spellEnd"/>
      <w:r w:rsidRPr="00E33388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chegaria ao preço alvo de R$ 10,68 – valor praticamente idêntico ao de fechamento de mercado na última sexta-feira (R$ 10,69). A ferramenta em tela também contribui para que as premissas principais sejam identificadas e, em consequência, as principais fontes de risco para a empresa valorada também o sejam. Para as variáveis que mais impactam o modelo, deve-se despender mais tempo, energia e recursos nas projeções, buscando-se maior assertividade. Ademais, uma boa análise precisa dimensionar o risco – a partir daí, cada investidor deve se perguntar se vale a pena, avaliando os impactos em sua carteira caso as variáveis sigam algum caminho desfavorável. </w:t>
      </w:r>
    </w:p>
    <w:p w14:paraId="3B88CA96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9D0BE21" w14:textId="77777777" w:rsidR="00E33388" w:rsidRPr="00E33388" w:rsidRDefault="00E33388" w:rsidP="00E33388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Esperamos que o leitor que chegou até aqui tenha agora uma visão mais clara com relação ao que está por trás de um </w:t>
      </w:r>
      <w:proofErr w:type="spellStart"/>
      <w:r w:rsidRPr="00E33388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proofErr w:type="spellEnd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pelo método do fluxo de caixa descontado, podendo, a partir de agora, navegar por relatórios e/ou materiais específicos sobre o tema com mais propriedade. Caso tenham surgido dúvidas ao longo da leitura e/ou haja interesse específico em algum(</w:t>
      </w:r>
      <w:proofErr w:type="spellStart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>ns</w:t>
      </w:r>
      <w:proofErr w:type="spellEnd"/>
      <w:r w:rsidRPr="00E33388">
        <w:rPr>
          <w:rFonts w:asciiTheme="minorHAnsi" w:eastAsiaTheme="minorHAnsi" w:hAnsiTheme="minorHAnsi" w:cstheme="minorBidi"/>
          <w:color w:val="000000" w:themeColor="text1"/>
          <w:lang w:eastAsia="en-US"/>
        </w:rPr>
        <w:t>) dos tópicos, por favor, fique à vontade para comentar aqui ou nas nossas redes sociais, pois ficaremos felizes em tirar eventuais dúvidas ou até aprofundar esses pontos em artigos futuros.</w:t>
      </w:r>
    </w:p>
    <w:p w14:paraId="4D65513A" w14:textId="77777777" w:rsidR="00FE6AF6" w:rsidRDefault="00FE6AF6" w:rsidP="00270D24">
      <w:pPr>
        <w:spacing w:after="0"/>
        <w:ind w:left="0"/>
        <w:rPr>
          <w:rFonts w:asciiTheme="minorHAnsi" w:eastAsiaTheme="minorHAnsi" w:hAnsiTheme="minorHAnsi" w:cstheme="minorBidi"/>
          <w:b/>
          <w:i/>
          <w:lang w:eastAsia="en-US"/>
        </w:rPr>
      </w:pPr>
    </w:p>
    <w:p w14:paraId="1EC55CC6" w14:textId="5343C11E" w:rsidR="00BE797C" w:rsidRDefault="00A64B64" w:rsidP="00862BAF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* </w:t>
      </w:r>
      <w:r w:rsidR="00270D24" w:rsidRPr="00270D24">
        <w:rPr>
          <w:rFonts w:asciiTheme="minorHAnsi" w:eastAsiaTheme="minorHAnsi" w:hAnsiTheme="minorHAnsi" w:cstheme="minorBidi"/>
          <w:b/>
          <w:i/>
          <w:lang w:eastAsia="en-US"/>
        </w:rPr>
        <w:t xml:space="preserve">Carlos Heitor Campani é PhD em Finanças, Diretor Acadêmico da </w:t>
      </w:r>
      <w:proofErr w:type="spellStart"/>
      <w:r w:rsidR="00270D24" w:rsidRPr="00270D24">
        <w:rPr>
          <w:rFonts w:asciiTheme="minorHAnsi" w:eastAsiaTheme="minorHAnsi" w:hAnsiTheme="minorHAnsi" w:cstheme="minorBidi"/>
          <w:b/>
          <w:i/>
          <w:lang w:eastAsia="en-US"/>
        </w:rPr>
        <w:t>iluminus</w:t>
      </w:r>
      <w:proofErr w:type="spellEnd"/>
      <w:r w:rsidR="00270D24" w:rsidRPr="00270D24">
        <w:rPr>
          <w:rFonts w:asciiTheme="minorHAnsi" w:eastAsiaTheme="minorHAnsi" w:hAnsiTheme="minorHAnsi" w:cstheme="minorBidi"/>
          <w:b/>
          <w:i/>
          <w:lang w:eastAsia="en-US"/>
        </w:rPr>
        <w:t xml:space="preserve"> – Academia de Finanças e sócio fundador da CHC </w:t>
      </w:r>
      <w:proofErr w:type="spellStart"/>
      <w:r w:rsidR="00270D24" w:rsidRPr="00270D24">
        <w:rPr>
          <w:rFonts w:asciiTheme="minorHAnsi" w:eastAsiaTheme="minorHAnsi" w:hAnsiTheme="minorHAnsi" w:cstheme="minorBidi"/>
          <w:b/>
          <w:i/>
          <w:lang w:eastAsia="en-US"/>
        </w:rPr>
        <w:t>Finance</w:t>
      </w:r>
      <w:proofErr w:type="spellEnd"/>
      <w:r w:rsidR="00270D24" w:rsidRPr="00270D24">
        <w:rPr>
          <w:rFonts w:asciiTheme="minorHAnsi" w:eastAsiaTheme="minorHAnsi" w:hAnsiTheme="minorHAnsi" w:cstheme="minorBidi"/>
          <w:b/>
          <w:i/>
          <w:lang w:eastAsia="en-US"/>
        </w:rPr>
        <w:t xml:space="preserve">. Ele pode ser encontrado em </w:t>
      </w:r>
      <w:hyperlink r:id="rId9" w:history="1">
        <w:r w:rsidR="00270D24" w:rsidRPr="00270D24">
          <w:rPr>
            <w:rStyle w:val="Hyperlink"/>
            <w:rFonts w:asciiTheme="minorHAnsi" w:eastAsiaTheme="minorHAnsi" w:hAnsiTheme="minorHAnsi" w:cstheme="minorBidi"/>
            <w:b/>
            <w:i/>
            <w:lang w:eastAsia="en-US"/>
          </w:rPr>
          <w:t>www.carlosheitorcampani.com</w:t>
        </w:r>
      </w:hyperlink>
      <w:r w:rsidR="00270D24" w:rsidRPr="00270D24">
        <w:rPr>
          <w:rFonts w:asciiTheme="minorHAnsi" w:eastAsiaTheme="minorHAnsi" w:hAnsiTheme="minorHAnsi" w:cstheme="minorBidi"/>
          <w:b/>
          <w:i/>
          <w:lang w:eastAsia="en-US"/>
        </w:rPr>
        <w:t xml:space="preserve"> e nas redes sociais: @carlosheitorcampani.</w:t>
      </w:r>
    </w:p>
    <w:p w14:paraId="3B334A18" w14:textId="77777777" w:rsidR="00E50163" w:rsidRDefault="00E50163" w:rsidP="00862BAF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</w:p>
    <w:p w14:paraId="2B660E82" w14:textId="606E375D" w:rsidR="00E50163" w:rsidRPr="00E50163" w:rsidRDefault="00E50163" w:rsidP="00E50163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E50163">
        <w:rPr>
          <w:rFonts w:asciiTheme="minorHAnsi" w:eastAsiaTheme="minorHAnsi" w:hAnsiTheme="minorHAnsi" w:cstheme="minorBidi"/>
          <w:b/>
          <w:i/>
          <w:lang w:eastAsia="en-US"/>
        </w:rPr>
        <w:lastRenderedPageBreak/>
        <w:t xml:space="preserve">*Fabio </w:t>
      </w:r>
      <w:proofErr w:type="spellStart"/>
      <w:r w:rsidRPr="00E50163">
        <w:rPr>
          <w:rFonts w:asciiTheme="minorHAnsi" w:eastAsiaTheme="minorHAnsi" w:hAnsiTheme="minorHAnsi" w:cstheme="minorBidi"/>
          <w:b/>
          <w:i/>
          <w:lang w:eastAsia="en-US"/>
        </w:rPr>
        <w:t>Civiletti</w:t>
      </w:r>
      <w:proofErr w:type="spellEnd"/>
      <w:r w:rsidRPr="00E50163">
        <w:rPr>
          <w:rFonts w:asciiTheme="minorHAnsi" w:eastAsiaTheme="minorHAnsi" w:hAnsiTheme="minorHAnsi" w:cstheme="minorBidi"/>
          <w:b/>
          <w:i/>
          <w:lang w:eastAsia="en-US"/>
        </w:rPr>
        <w:t xml:space="preserve"> é Mestre em Finanças, ramo no qual atua como consultor, professor e pesquisador, com especial apreço por </w:t>
      </w:r>
      <w:proofErr w:type="spellStart"/>
      <w:r w:rsidRPr="00E50163">
        <w:rPr>
          <w:rFonts w:asciiTheme="minorHAnsi" w:eastAsiaTheme="minorHAnsi" w:hAnsiTheme="minorHAnsi" w:cstheme="minorBidi"/>
          <w:b/>
          <w:i/>
          <w:lang w:eastAsia="en-US"/>
        </w:rPr>
        <w:t>valuation</w:t>
      </w:r>
      <w:proofErr w:type="spellEnd"/>
      <w:r w:rsidRPr="00E50163">
        <w:rPr>
          <w:rFonts w:asciiTheme="minorHAnsi" w:eastAsiaTheme="minorHAnsi" w:hAnsiTheme="minorHAnsi" w:cstheme="minorBidi"/>
          <w:b/>
          <w:i/>
          <w:lang w:eastAsia="en-US"/>
        </w:rPr>
        <w:t xml:space="preserve"> de empresas, projetos e ativos, gestão de portfólios e econometria. É </w:t>
      </w:r>
      <w:r w:rsidR="00270D24">
        <w:rPr>
          <w:rFonts w:asciiTheme="minorHAnsi" w:eastAsiaTheme="minorHAnsi" w:hAnsiTheme="minorHAnsi" w:cstheme="minorBidi"/>
          <w:b/>
          <w:i/>
          <w:lang w:eastAsia="en-US"/>
        </w:rPr>
        <w:t xml:space="preserve">consultor sênior da CHC </w:t>
      </w:r>
      <w:proofErr w:type="spellStart"/>
      <w:r w:rsidR="00270D24">
        <w:rPr>
          <w:rFonts w:asciiTheme="minorHAnsi" w:eastAsiaTheme="minorHAnsi" w:hAnsiTheme="minorHAnsi" w:cstheme="minorBidi"/>
          <w:b/>
          <w:i/>
          <w:lang w:eastAsia="en-US"/>
        </w:rPr>
        <w:t>Finance</w:t>
      </w:r>
      <w:proofErr w:type="spellEnd"/>
      <w:r w:rsidR="00270D24">
        <w:rPr>
          <w:rFonts w:asciiTheme="minorHAnsi" w:eastAsiaTheme="minorHAnsi" w:hAnsiTheme="minorHAnsi" w:cstheme="minorBidi"/>
          <w:b/>
          <w:i/>
          <w:lang w:eastAsia="en-US"/>
        </w:rPr>
        <w:t xml:space="preserve"> e</w:t>
      </w:r>
      <w:r w:rsidRPr="00E50163">
        <w:rPr>
          <w:rFonts w:asciiTheme="minorHAnsi" w:eastAsiaTheme="minorHAnsi" w:hAnsiTheme="minorHAnsi" w:cstheme="minorBidi"/>
          <w:b/>
          <w:i/>
          <w:lang w:eastAsia="en-US"/>
        </w:rPr>
        <w:t xml:space="preserve"> Diretor Executivo da </w:t>
      </w:r>
      <w:proofErr w:type="spellStart"/>
      <w:r w:rsidRPr="00E50163">
        <w:rPr>
          <w:rFonts w:asciiTheme="minorHAnsi" w:eastAsiaTheme="minorHAnsi" w:hAnsiTheme="minorHAnsi" w:cstheme="minorBidi"/>
          <w:b/>
          <w:i/>
          <w:lang w:eastAsia="en-US"/>
        </w:rPr>
        <w:t>iluminus</w:t>
      </w:r>
      <w:proofErr w:type="spellEnd"/>
      <w:r w:rsidRPr="00E50163">
        <w:rPr>
          <w:rFonts w:asciiTheme="minorHAnsi" w:eastAsiaTheme="minorHAnsi" w:hAnsiTheme="minorHAnsi" w:cstheme="minorBidi"/>
          <w:b/>
          <w:i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b/>
          <w:i/>
          <w:lang w:eastAsia="en-US"/>
        </w:rPr>
        <w:t>– Academia de Finanças</w:t>
      </w:r>
      <w:r w:rsidRPr="00E50163">
        <w:rPr>
          <w:rFonts w:asciiTheme="minorHAnsi" w:eastAsiaTheme="minorHAnsi" w:hAnsiTheme="minorHAnsi" w:cstheme="minorBidi"/>
          <w:b/>
          <w:i/>
          <w:lang w:eastAsia="en-US"/>
        </w:rPr>
        <w:t>.</w:t>
      </w:r>
    </w:p>
    <w:p w14:paraId="0547654D" w14:textId="77777777" w:rsidR="00E50163" w:rsidRPr="00E50163" w:rsidRDefault="00E50163" w:rsidP="00E50163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</w:p>
    <w:p w14:paraId="6D6800B8" w14:textId="302DD422" w:rsidR="00E50163" w:rsidRDefault="00E50163" w:rsidP="00E50163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E50163">
        <w:rPr>
          <w:rFonts w:asciiTheme="minorHAnsi" w:eastAsiaTheme="minorHAnsi" w:hAnsiTheme="minorHAnsi" w:cstheme="minorBidi"/>
          <w:b/>
          <w:i/>
          <w:lang w:eastAsia="en-US"/>
        </w:rPr>
        <w:t xml:space="preserve">*Victor Lago é Mestre em Finanças, Mentor e Educador sobre Investimentos, além de </w:t>
      </w:r>
      <w:r w:rsidR="00CA5E5C">
        <w:rPr>
          <w:rFonts w:asciiTheme="minorHAnsi" w:eastAsiaTheme="minorHAnsi" w:hAnsiTheme="minorHAnsi" w:cstheme="minorBidi"/>
          <w:b/>
          <w:i/>
          <w:lang w:eastAsia="en-US"/>
        </w:rPr>
        <w:t>c</w:t>
      </w:r>
      <w:r w:rsidRPr="00E50163">
        <w:rPr>
          <w:rFonts w:asciiTheme="minorHAnsi" w:eastAsiaTheme="minorHAnsi" w:hAnsiTheme="minorHAnsi" w:cstheme="minorBidi"/>
          <w:b/>
          <w:i/>
          <w:lang w:eastAsia="en-US"/>
        </w:rPr>
        <w:t>onsultor</w:t>
      </w:r>
      <w:r w:rsidR="00CA5E5C">
        <w:rPr>
          <w:rFonts w:asciiTheme="minorHAnsi" w:eastAsiaTheme="minorHAnsi" w:hAnsiTheme="minorHAnsi" w:cstheme="minorBidi"/>
          <w:b/>
          <w:i/>
          <w:lang w:eastAsia="en-US"/>
        </w:rPr>
        <w:t xml:space="preserve"> sênior da CHC </w:t>
      </w:r>
      <w:proofErr w:type="spellStart"/>
      <w:r w:rsidR="00CA5E5C">
        <w:rPr>
          <w:rFonts w:asciiTheme="minorHAnsi" w:eastAsiaTheme="minorHAnsi" w:hAnsiTheme="minorHAnsi" w:cstheme="minorBidi"/>
          <w:b/>
          <w:i/>
          <w:lang w:eastAsia="en-US"/>
        </w:rPr>
        <w:t>Finance</w:t>
      </w:r>
      <w:proofErr w:type="spellEnd"/>
      <w:r w:rsidRPr="00E50163">
        <w:rPr>
          <w:rFonts w:asciiTheme="minorHAnsi" w:eastAsiaTheme="minorHAnsi" w:hAnsiTheme="minorHAnsi" w:cstheme="minorBidi"/>
          <w:b/>
          <w:i/>
          <w:lang w:eastAsia="en-US"/>
        </w:rPr>
        <w:t>.</w:t>
      </w:r>
    </w:p>
    <w:sectPr w:rsidR="00E50163" w:rsidSect="00392972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376" w:bottom="1418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C659F5" w14:textId="77777777" w:rsidR="00CF7F57" w:rsidRDefault="00CF7F57" w:rsidP="004D2193">
      <w:r>
        <w:separator/>
      </w:r>
    </w:p>
  </w:endnote>
  <w:endnote w:type="continuationSeparator" w:id="0">
    <w:p w14:paraId="55220B19" w14:textId="77777777" w:rsidR="00CF7F57" w:rsidRDefault="00CF7F57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panose1 w:val="00000000000000000000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02A63" w14:textId="7BBA336A" w:rsidR="00E010F7" w:rsidRDefault="00583DD3" w:rsidP="004D2193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1535508" wp14:editId="1061ACAA">
              <wp:simplePos x="0" y="0"/>
              <wp:positionH relativeFrom="margin">
                <wp:posOffset>1957705</wp:posOffset>
              </wp:positionH>
              <wp:positionV relativeFrom="paragraph">
                <wp:posOffset>317500</wp:posOffset>
              </wp:positionV>
              <wp:extent cx="1958196" cy="422694"/>
              <wp:effectExtent l="0" t="0" r="0" b="0"/>
              <wp:wrapNone/>
              <wp:docPr id="1795515829" name="Caixa de Texto 17955158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8196" cy="4226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F23FED1" w14:textId="77777777" w:rsidR="00583DD3" w:rsidRDefault="00583DD3" w:rsidP="00583DD3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chcfinance.com.br</w:t>
                          </w:r>
                        </w:p>
                        <w:p w14:paraId="72F352BE" w14:textId="77777777" w:rsidR="00583DD3" w:rsidRPr="00FC6403" w:rsidRDefault="00583DD3" w:rsidP="00583DD3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contato@chcfinance.com.br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br/>
                          </w:r>
                          <w:hyperlink r:id="rId1" w:history="1">
                            <w:r w:rsidRPr="00183924">
                              <w:rPr>
                                <w:rStyle w:val="Hyperlink"/>
                                <w:rFonts w:ascii="Bona Nova" w:hAnsi="Bona Nova" w:cs="Bona Nova"/>
                              </w:rPr>
                              <w:t>contato@chcfinance.com.br</w:t>
                            </w:r>
                          </w:hyperlink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35508" id="_x0000_t202" coordsize="21600,21600" o:spt="202" path="m,l,21600r21600,l21600,xe">
              <v:stroke joinstyle="miter"/>
              <v:path gradientshapeok="t" o:connecttype="rect"/>
            </v:shapetype>
            <v:shape id="Caixa de Texto 1795515829" o:spid="_x0000_s1026" type="#_x0000_t202" style="position:absolute;left:0;text-align:left;margin-left:154.15pt;margin-top:25pt;width:154.2pt;height:33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" filled="f" stroked="f" strokeweight=".5pt">
              <v:textbox>
                <w:txbxContent>
                  <w:p w14:paraId="0F23FED1" w14:textId="77777777" w:rsidR="00583DD3" w:rsidRDefault="00583DD3" w:rsidP="00583DD3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chcfinance.com.br</w:t>
                    </w:r>
                  </w:p>
                  <w:p w14:paraId="72F352BE" w14:textId="77777777" w:rsidR="00583DD3" w:rsidRPr="00FC6403" w:rsidRDefault="00583DD3" w:rsidP="00583DD3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>
                      <w:rPr>
                        <w:rFonts w:ascii="Bona Nova" w:hAnsi="Bona Nova" w:cs="Bona Nova"/>
                        <w:color w:val="E7D188"/>
                      </w:rPr>
                      <w:t>contato@chcfinance.com.br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br/>
                    </w:r>
                    <w:hyperlink r:id="rId2" w:history="1">
                      <w:r w:rsidRPr="00183924">
                        <w:rPr>
                          <w:rStyle w:val="Hyperlink"/>
                          <w:rFonts w:ascii="Bona Nova" w:hAnsi="Bona Nova" w:cs="Bona Nova"/>
                        </w:rPr>
                        <w:t>contato@chcfinance.com.br</w:t>
                      </w:r>
                    </w:hyperlink>
                    <w:r>
                      <w:rPr>
                        <w:rFonts w:ascii="Bona Nova" w:hAnsi="Bona Nova" w:cs="Bona Nova"/>
                        <w:color w:val="E7D18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7" type="#_x0000_t202" style="position:absolute;left:0;text-align:left;margin-left:0;margin-top:32.7pt;width:134.6pt;height:24.7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36CBD2" w14:textId="77777777" w:rsidR="00CF7F57" w:rsidRDefault="00CF7F57" w:rsidP="004D2193">
      <w:r>
        <w:separator/>
      </w:r>
    </w:p>
  </w:footnote>
  <w:footnote w:type="continuationSeparator" w:id="0">
    <w:p w14:paraId="16D064F4" w14:textId="77777777" w:rsidR="00CF7F57" w:rsidRDefault="00CF7F57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CA5E5C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4D939" w14:textId="3BF303F5" w:rsidR="00E010F7" w:rsidRDefault="00B20566" w:rsidP="00866539">
    <w:pPr>
      <w:ind w:right="360"/>
    </w:pPr>
    <w:r w:rsidRPr="000C59A7">
      <w:rPr>
        <w:noProof/>
      </w:rPr>
      <w:drawing>
        <wp:anchor distT="0" distB="0" distL="114300" distR="114300" simplePos="0" relativeHeight="251659264" behindDoc="0" locked="0" layoutInCell="1" allowOverlap="1" wp14:anchorId="31079291" wp14:editId="2BCAEB24">
          <wp:simplePos x="0" y="0"/>
          <wp:positionH relativeFrom="margin">
            <wp:posOffset>2074220</wp:posOffset>
          </wp:positionH>
          <wp:positionV relativeFrom="paragraph">
            <wp:posOffset>-343535</wp:posOffset>
          </wp:positionV>
          <wp:extent cx="1781503" cy="413533"/>
          <wp:effectExtent l="0" t="0" r="0" b="5715"/>
          <wp:wrapNone/>
          <wp:docPr id="1230715678" name="Picture 11" descr="A black and yellow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37E2BD7-F64F-6F0C-D99E-DA5455BC56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black and yellow logo&#10;&#10;Description automatically generated">
                    <a:extLst>
                      <a:ext uri="{FF2B5EF4-FFF2-40B4-BE49-F238E27FC236}">
                        <a16:creationId xmlns:a16="http://schemas.microsoft.com/office/drawing/2014/main" id="{937E2BD7-F64F-6F0C-D99E-DA5455BC56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503" cy="41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6979">
      <w:rPr>
        <w:noProof/>
      </w:rPr>
      <w:drawing>
        <wp:anchor distT="0" distB="0" distL="114300" distR="114300" simplePos="0" relativeHeight="251654144" behindDoc="1" locked="0" layoutInCell="1" allowOverlap="1" wp14:anchorId="2A059F36" wp14:editId="21020AD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5824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192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B21F1"/>
    <w:multiLevelType w:val="hybridMultilevel"/>
    <w:tmpl w:val="8D2090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F250A"/>
    <w:multiLevelType w:val="hybridMultilevel"/>
    <w:tmpl w:val="66BE0774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143E9"/>
    <w:multiLevelType w:val="hybridMultilevel"/>
    <w:tmpl w:val="2BFAA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263E4E"/>
    <w:multiLevelType w:val="hybridMultilevel"/>
    <w:tmpl w:val="D46E04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B10A46"/>
    <w:multiLevelType w:val="hybridMultilevel"/>
    <w:tmpl w:val="B78880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F06F1D"/>
    <w:multiLevelType w:val="hybridMultilevel"/>
    <w:tmpl w:val="67FCA7F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E8437E"/>
    <w:multiLevelType w:val="hybridMultilevel"/>
    <w:tmpl w:val="01BA9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EC1870"/>
    <w:multiLevelType w:val="hybridMultilevel"/>
    <w:tmpl w:val="89449A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15047B"/>
    <w:multiLevelType w:val="hybridMultilevel"/>
    <w:tmpl w:val="3E6061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233588"/>
    <w:multiLevelType w:val="hybridMultilevel"/>
    <w:tmpl w:val="B8482D52"/>
    <w:lvl w:ilvl="0" w:tplc="2F369C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9803E6"/>
    <w:multiLevelType w:val="hybridMultilevel"/>
    <w:tmpl w:val="8258DAC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50588E"/>
    <w:multiLevelType w:val="hybridMultilevel"/>
    <w:tmpl w:val="9976C12C"/>
    <w:lvl w:ilvl="0" w:tplc="97F2C4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EB48E8"/>
    <w:multiLevelType w:val="hybridMultilevel"/>
    <w:tmpl w:val="E6E2EDA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2D7E79"/>
    <w:multiLevelType w:val="hybridMultilevel"/>
    <w:tmpl w:val="7FB81D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FDC6B4D"/>
    <w:multiLevelType w:val="hybridMultilevel"/>
    <w:tmpl w:val="885A734C"/>
    <w:lvl w:ilvl="0" w:tplc="04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0612100">
    <w:abstractNumId w:val="17"/>
  </w:num>
  <w:num w:numId="2" w16cid:durableId="584147039">
    <w:abstractNumId w:val="4"/>
  </w:num>
  <w:num w:numId="3" w16cid:durableId="1713310607">
    <w:abstractNumId w:val="3"/>
  </w:num>
  <w:num w:numId="4" w16cid:durableId="1120028956">
    <w:abstractNumId w:val="8"/>
  </w:num>
  <w:num w:numId="5" w16cid:durableId="756096207">
    <w:abstractNumId w:val="12"/>
  </w:num>
  <w:num w:numId="6" w16cid:durableId="1762288043">
    <w:abstractNumId w:val="5"/>
  </w:num>
  <w:num w:numId="7" w16cid:durableId="2006543480">
    <w:abstractNumId w:val="18"/>
  </w:num>
  <w:num w:numId="8" w16cid:durableId="554195949">
    <w:abstractNumId w:val="1"/>
  </w:num>
  <w:num w:numId="9" w16cid:durableId="1559320234">
    <w:abstractNumId w:val="0"/>
  </w:num>
  <w:num w:numId="10" w16cid:durableId="937253097">
    <w:abstractNumId w:val="9"/>
  </w:num>
  <w:num w:numId="11" w16cid:durableId="706836987">
    <w:abstractNumId w:val="2"/>
  </w:num>
  <w:num w:numId="12" w16cid:durableId="1820264157">
    <w:abstractNumId w:val="14"/>
  </w:num>
  <w:num w:numId="13" w16cid:durableId="147282701">
    <w:abstractNumId w:val="7"/>
  </w:num>
  <w:num w:numId="14" w16cid:durableId="1362515045">
    <w:abstractNumId w:val="10"/>
  </w:num>
  <w:num w:numId="15" w16cid:durableId="357001064">
    <w:abstractNumId w:val="16"/>
  </w:num>
  <w:num w:numId="16" w16cid:durableId="1109353731">
    <w:abstractNumId w:val="15"/>
  </w:num>
  <w:num w:numId="17" w16cid:durableId="1271621187">
    <w:abstractNumId w:val="11"/>
  </w:num>
  <w:num w:numId="18" w16cid:durableId="1576478889">
    <w:abstractNumId w:val="13"/>
  </w:num>
  <w:num w:numId="19" w16cid:durableId="158167059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6C43"/>
    <w:rsid w:val="0005035F"/>
    <w:rsid w:val="00055DE0"/>
    <w:rsid w:val="000608DD"/>
    <w:rsid w:val="000710A7"/>
    <w:rsid w:val="000713F5"/>
    <w:rsid w:val="000724E9"/>
    <w:rsid w:val="00081A1F"/>
    <w:rsid w:val="000974EC"/>
    <w:rsid w:val="000A64F6"/>
    <w:rsid w:val="000C22A1"/>
    <w:rsid w:val="000C35AE"/>
    <w:rsid w:val="000C6C83"/>
    <w:rsid w:val="000D2394"/>
    <w:rsid w:val="000D2AC9"/>
    <w:rsid w:val="000D4DE4"/>
    <w:rsid w:val="000F12ED"/>
    <w:rsid w:val="000F13A5"/>
    <w:rsid w:val="000F4ABA"/>
    <w:rsid w:val="00110BC4"/>
    <w:rsid w:val="00124820"/>
    <w:rsid w:val="00133A93"/>
    <w:rsid w:val="00134137"/>
    <w:rsid w:val="00143F7C"/>
    <w:rsid w:val="0015735C"/>
    <w:rsid w:val="0016631D"/>
    <w:rsid w:val="00167D1C"/>
    <w:rsid w:val="00176CC2"/>
    <w:rsid w:val="00180F09"/>
    <w:rsid w:val="001854C8"/>
    <w:rsid w:val="00187431"/>
    <w:rsid w:val="001928E6"/>
    <w:rsid w:val="001962E8"/>
    <w:rsid w:val="001A2C53"/>
    <w:rsid w:val="001A5040"/>
    <w:rsid w:val="001A7D30"/>
    <w:rsid w:val="001B4BE7"/>
    <w:rsid w:val="001B593B"/>
    <w:rsid w:val="001E22FC"/>
    <w:rsid w:val="001F0256"/>
    <w:rsid w:val="001F0F36"/>
    <w:rsid w:val="001F4648"/>
    <w:rsid w:val="00204504"/>
    <w:rsid w:val="0021096B"/>
    <w:rsid w:val="002206C9"/>
    <w:rsid w:val="00223E4F"/>
    <w:rsid w:val="00232246"/>
    <w:rsid w:val="0023793F"/>
    <w:rsid w:val="00244BE5"/>
    <w:rsid w:val="00245E73"/>
    <w:rsid w:val="00246718"/>
    <w:rsid w:val="0025022F"/>
    <w:rsid w:val="002539B1"/>
    <w:rsid w:val="0025521D"/>
    <w:rsid w:val="00270D24"/>
    <w:rsid w:val="0027142F"/>
    <w:rsid w:val="0027328E"/>
    <w:rsid w:val="00294A05"/>
    <w:rsid w:val="002A443D"/>
    <w:rsid w:val="002A5951"/>
    <w:rsid w:val="002A7B47"/>
    <w:rsid w:val="002B227C"/>
    <w:rsid w:val="002C08A3"/>
    <w:rsid w:val="002C2735"/>
    <w:rsid w:val="002C3239"/>
    <w:rsid w:val="002C580D"/>
    <w:rsid w:val="002C6A0E"/>
    <w:rsid w:val="002D2503"/>
    <w:rsid w:val="002E0C62"/>
    <w:rsid w:val="002E279F"/>
    <w:rsid w:val="002E3046"/>
    <w:rsid w:val="00302005"/>
    <w:rsid w:val="00305A52"/>
    <w:rsid w:val="0031272F"/>
    <w:rsid w:val="00313C18"/>
    <w:rsid w:val="0031543E"/>
    <w:rsid w:val="00315C75"/>
    <w:rsid w:val="003346F3"/>
    <w:rsid w:val="00340845"/>
    <w:rsid w:val="0034523C"/>
    <w:rsid w:val="0034637C"/>
    <w:rsid w:val="003468B1"/>
    <w:rsid w:val="003474DC"/>
    <w:rsid w:val="0035305A"/>
    <w:rsid w:val="00366A9B"/>
    <w:rsid w:val="00367C2B"/>
    <w:rsid w:val="003726D3"/>
    <w:rsid w:val="00383210"/>
    <w:rsid w:val="003864C9"/>
    <w:rsid w:val="00387087"/>
    <w:rsid w:val="00390B22"/>
    <w:rsid w:val="00392972"/>
    <w:rsid w:val="003A068C"/>
    <w:rsid w:val="003A651D"/>
    <w:rsid w:val="003B0E57"/>
    <w:rsid w:val="003B42F4"/>
    <w:rsid w:val="003B44C8"/>
    <w:rsid w:val="003B6073"/>
    <w:rsid w:val="003C3CE3"/>
    <w:rsid w:val="003C4250"/>
    <w:rsid w:val="003E268C"/>
    <w:rsid w:val="003E2D0C"/>
    <w:rsid w:val="003E46B9"/>
    <w:rsid w:val="003E7587"/>
    <w:rsid w:val="003E7645"/>
    <w:rsid w:val="003E7DBC"/>
    <w:rsid w:val="004007F4"/>
    <w:rsid w:val="004017D3"/>
    <w:rsid w:val="00414903"/>
    <w:rsid w:val="004242CE"/>
    <w:rsid w:val="00424DA3"/>
    <w:rsid w:val="004327E5"/>
    <w:rsid w:val="00444D61"/>
    <w:rsid w:val="00447492"/>
    <w:rsid w:val="0045047D"/>
    <w:rsid w:val="004540B7"/>
    <w:rsid w:val="00465A38"/>
    <w:rsid w:val="00470802"/>
    <w:rsid w:val="00472DBA"/>
    <w:rsid w:val="00475D27"/>
    <w:rsid w:val="00476656"/>
    <w:rsid w:val="0048151F"/>
    <w:rsid w:val="00486616"/>
    <w:rsid w:val="00497FC0"/>
    <w:rsid w:val="004C1E11"/>
    <w:rsid w:val="004D2193"/>
    <w:rsid w:val="004D3CE2"/>
    <w:rsid w:val="004E34F4"/>
    <w:rsid w:val="0050138C"/>
    <w:rsid w:val="0050382E"/>
    <w:rsid w:val="00525A1A"/>
    <w:rsid w:val="005266F1"/>
    <w:rsid w:val="00533009"/>
    <w:rsid w:val="005441D3"/>
    <w:rsid w:val="0054452C"/>
    <w:rsid w:val="00550038"/>
    <w:rsid w:val="0055139F"/>
    <w:rsid w:val="00553862"/>
    <w:rsid w:val="00555019"/>
    <w:rsid w:val="00562414"/>
    <w:rsid w:val="00563F7A"/>
    <w:rsid w:val="00575C4C"/>
    <w:rsid w:val="005767B1"/>
    <w:rsid w:val="005838F6"/>
    <w:rsid w:val="00583DD3"/>
    <w:rsid w:val="0058422E"/>
    <w:rsid w:val="0058659E"/>
    <w:rsid w:val="005900E1"/>
    <w:rsid w:val="005C7A11"/>
    <w:rsid w:val="005D5CB0"/>
    <w:rsid w:val="005E30EE"/>
    <w:rsid w:val="005F63C2"/>
    <w:rsid w:val="00600FDA"/>
    <w:rsid w:val="00605765"/>
    <w:rsid w:val="00614BD3"/>
    <w:rsid w:val="0063017C"/>
    <w:rsid w:val="00637ACB"/>
    <w:rsid w:val="00651243"/>
    <w:rsid w:val="00652BF2"/>
    <w:rsid w:val="00671D0B"/>
    <w:rsid w:val="00686CCD"/>
    <w:rsid w:val="006A085B"/>
    <w:rsid w:val="006B328A"/>
    <w:rsid w:val="006B400D"/>
    <w:rsid w:val="006B4D62"/>
    <w:rsid w:val="006D154F"/>
    <w:rsid w:val="006D43A5"/>
    <w:rsid w:val="006D4DE9"/>
    <w:rsid w:val="006E4A58"/>
    <w:rsid w:val="006E64C6"/>
    <w:rsid w:val="006F38A0"/>
    <w:rsid w:val="00700B94"/>
    <w:rsid w:val="007234DF"/>
    <w:rsid w:val="00723B58"/>
    <w:rsid w:val="00730DA5"/>
    <w:rsid w:val="0073537C"/>
    <w:rsid w:val="00750D39"/>
    <w:rsid w:val="00752059"/>
    <w:rsid w:val="00752B4F"/>
    <w:rsid w:val="00754435"/>
    <w:rsid w:val="00757DFB"/>
    <w:rsid w:val="00765C50"/>
    <w:rsid w:val="00772DF1"/>
    <w:rsid w:val="00782DE9"/>
    <w:rsid w:val="00783126"/>
    <w:rsid w:val="00784537"/>
    <w:rsid w:val="007942F3"/>
    <w:rsid w:val="00795312"/>
    <w:rsid w:val="0079677D"/>
    <w:rsid w:val="007A344E"/>
    <w:rsid w:val="007A5998"/>
    <w:rsid w:val="007A68E2"/>
    <w:rsid w:val="007A747D"/>
    <w:rsid w:val="007B2B89"/>
    <w:rsid w:val="007B2C3C"/>
    <w:rsid w:val="007B3840"/>
    <w:rsid w:val="007C4B0E"/>
    <w:rsid w:val="007D63FE"/>
    <w:rsid w:val="007E6C30"/>
    <w:rsid w:val="00801B7B"/>
    <w:rsid w:val="008020FB"/>
    <w:rsid w:val="00804AC7"/>
    <w:rsid w:val="008131C4"/>
    <w:rsid w:val="0081751D"/>
    <w:rsid w:val="00822E82"/>
    <w:rsid w:val="00824262"/>
    <w:rsid w:val="00827B27"/>
    <w:rsid w:val="00842BC9"/>
    <w:rsid w:val="0084376E"/>
    <w:rsid w:val="00843DEB"/>
    <w:rsid w:val="008442A1"/>
    <w:rsid w:val="00844C04"/>
    <w:rsid w:val="00850F4C"/>
    <w:rsid w:val="008615C3"/>
    <w:rsid w:val="00862BAF"/>
    <w:rsid w:val="00866539"/>
    <w:rsid w:val="00867233"/>
    <w:rsid w:val="008806B3"/>
    <w:rsid w:val="00890A6C"/>
    <w:rsid w:val="008A007B"/>
    <w:rsid w:val="008A44DA"/>
    <w:rsid w:val="008C0387"/>
    <w:rsid w:val="008D4298"/>
    <w:rsid w:val="008D62E7"/>
    <w:rsid w:val="008D73E9"/>
    <w:rsid w:val="008E1B50"/>
    <w:rsid w:val="008F22F2"/>
    <w:rsid w:val="00903689"/>
    <w:rsid w:val="009041E2"/>
    <w:rsid w:val="00905371"/>
    <w:rsid w:val="00906FE1"/>
    <w:rsid w:val="009110B4"/>
    <w:rsid w:val="0091331F"/>
    <w:rsid w:val="0091571B"/>
    <w:rsid w:val="009171A8"/>
    <w:rsid w:val="00921B19"/>
    <w:rsid w:val="00930B67"/>
    <w:rsid w:val="00930F53"/>
    <w:rsid w:val="009406AD"/>
    <w:rsid w:val="0094116A"/>
    <w:rsid w:val="00951B9F"/>
    <w:rsid w:val="00960212"/>
    <w:rsid w:val="00963C2E"/>
    <w:rsid w:val="009709BD"/>
    <w:rsid w:val="00972FA2"/>
    <w:rsid w:val="00974C35"/>
    <w:rsid w:val="00981E81"/>
    <w:rsid w:val="0098706C"/>
    <w:rsid w:val="009D17A8"/>
    <w:rsid w:val="009D2E35"/>
    <w:rsid w:val="009D4FC5"/>
    <w:rsid w:val="009E1C42"/>
    <w:rsid w:val="009E6D4D"/>
    <w:rsid w:val="009F020F"/>
    <w:rsid w:val="009F219B"/>
    <w:rsid w:val="009F24E1"/>
    <w:rsid w:val="009F57BE"/>
    <w:rsid w:val="00A012E3"/>
    <w:rsid w:val="00A03CF9"/>
    <w:rsid w:val="00A3393B"/>
    <w:rsid w:val="00A366B4"/>
    <w:rsid w:val="00A3682D"/>
    <w:rsid w:val="00A4666F"/>
    <w:rsid w:val="00A46CEF"/>
    <w:rsid w:val="00A55078"/>
    <w:rsid w:val="00A64B64"/>
    <w:rsid w:val="00A6715F"/>
    <w:rsid w:val="00A756EC"/>
    <w:rsid w:val="00A75AC9"/>
    <w:rsid w:val="00A75E78"/>
    <w:rsid w:val="00A75EE9"/>
    <w:rsid w:val="00A77D06"/>
    <w:rsid w:val="00A84B3D"/>
    <w:rsid w:val="00A86867"/>
    <w:rsid w:val="00A901A2"/>
    <w:rsid w:val="00AA0FE9"/>
    <w:rsid w:val="00AA2639"/>
    <w:rsid w:val="00AA2BDE"/>
    <w:rsid w:val="00AA3323"/>
    <w:rsid w:val="00AB7AA7"/>
    <w:rsid w:val="00AC3F12"/>
    <w:rsid w:val="00AC5FD5"/>
    <w:rsid w:val="00AC70C9"/>
    <w:rsid w:val="00AD49EC"/>
    <w:rsid w:val="00AD6754"/>
    <w:rsid w:val="00AE6BE5"/>
    <w:rsid w:val="00AF75BD"/>
    <w:rsid w:val="00B10BBF"/>
    <w:rsid w:val="00B11584"/>
    <w:rsid w:val="00B16082"/>
    <w:rsid w:val="00B20566"/>
    <w:rsid w:val="00B227D3"/>
    <w:rsid w:val="00B233E6"/>
    <w:rsid w:val="00B33308"/>
    <w:rsid w:val="00B376C8"/>
    <w:rsid w:val="00B53728"/>
    <w:rsid w:val="00B549C4"/>
    <w:rsid w:val="00B62C1A"/>
    <w:rsid w:val="00B669CA"/>
    <w:rsid w:val="00B956B4"/>
    <w:rsid w:val="00BA1F22"/>
    <w:rsid w:val="00BA30AF"/>
    <w:rsid w:val="00BA5949"/>
    <w:rsid w:val="00BC1F72"/>
    <w:rsid w:val="00BC1FF0"/>
    <w:rsid w:val="00BD2CFE"/>
    <w:rsid w:val="00BE47C2"/>
    <w:rsid w:val="00BE797C"/>
    <w:rsid w:val="00BF2126"/>
    <w:rsid w:val="00BF5584"/>
    <w:rsid w:val="00BF5CE2"/>
    <w:rsid w:val="00C01DE4"/>
    <w:rsid w:val="00C036C8"/>
    <w:rsid w:val="00C03AEF"/>
    <w:rsid w:val="00C04B9B"/>
    <w:rsid w:val="00C06242"/>
    <w:rsid w:val="00C10D67"/>
    <w:rsid w:val="00C244DA"/>
    <w:rsid w:val="00C25F4C"/>
    <w:rsid w:val="00C33BA9"/>
    <w:rsid w:val="00C47CB9"/>
    <w:rsid w:val="00C51539"/>
    <w:rsid w:val="00C5325D"/>
    <w:rsid w:val="00C64BFC"/>
    <w:rsid w:val="00C66951"/>
    <w:rsid w:val="00C828E6"/>
    <w:rsid w:val="00C838E4"/>
    <w:rsid w:val="00C947F8"/>
    <w:rsid w:val="00C954E8"/>
    <w:rsid w:val="00C96979"/>
    <w:rsid w:val="00CA5E5C"/>
    <w:rsid w:val="00CB312F"/>
    <w:rsid w:val="00CD68F7"/>
    <w:rsid w:val="00CE11C8"/>
    <w:rsid w:val="00CE42C1"/>
    <w:rsid w:val="00CE447D"/>
    <w:rsid w:val="00CE5523"/>
    <w:rsid w:val="00CE5792"/>
    <w:rsid w:val="00CE5A87"/>
    <w:rsid w:val="00CF7F57"/>
    <w:rsid w:val="00D00AD4"/>
    <w:rsid w:val="00D065FA"/>
    <w:rsid w:val="00D103A0"/>
    <w:rsid w:val="00D121F2"/>
    <w:rsid w:val="00D23538"/>
    <w:rsid w:val="00D30957"/>
    <w:rsid w:val="00D372CC"/>
    <w:rsid w:val="00D4372D"/>
    <w:rsid w:val="00D500E0"/>
    <w:rsid w:val="00D50FB8"/>
    <w:rsid w:val="00D53617"/>
    <w:rsid w:val="00D64B8C"/>
    <w:rsid w:val="00D66D87"/>
    <w:rsid w:val="00D67F9C"/>
    <w:rsid w:val="00D750F7"/>
    <w:rsid w:val="00D75397"/>
    <w:rsid w:val="00D84797"/>
    <w:rsid w:val="00D90D14"/>
    <w:rsid w:val="00D9343C"/>
    <w:rsid w:val="00D95CFC"/>
    <w:rsid w:val="00DA2777"/>
    <w:rsid w:val="00DA45AB"/>
    <w:rsid w:val="00DB6548"/>
    <w:rsid w:val="00DB7004"/>
    <w:rsid w:val="00DC54A2"/>
    <w:rsid w:val="00DC6185"/>
    <w:rsid w:val="00DD31AB"/>
    <w:rsid w:val="00DD4FCF"/>
    <w:rsid w:val="00DE68FA"/>
    <w:rsid w:val="00DF49AB"/>
    <w:rsid w:val="00DF5586"/>
    <w:rsid w:val="00E010F7"/>
    <w:rsid w:val="00E100FD"/>
    <w:rsid w:val="00E14BBA"/>
    <w:rsid w:val="00E23538"/>
    <w:rsid w:val="00E2409E"/>
    <w:rsid w:val="00E24CE6"/>
    <w:rsid w:val="00E33388"/>
    <w:rsid w:val="00E346BA"/>
    <w:rsid w:val="00E40ABD"/>
    <w:rsid w:val="00E440A0"/>
    <w:rsid w:val="00E4535C"/>
    <w:rsid w:val="00E50163"/>
    <w:rsid w:val="00E50E75"/>
    <w:rsid w:val="00E51063"/>
    <w:rsid w:val="00E53599"/>
    <w:rsid w:val="00E576B0"/>
    <w:rsid w:val="00E63FE7"/>
    <w:rsid w:val="00E64F87"/>
    <w:rsid w:val="00E66A54"/>
    <w:rsid w:val="00E73CDB"/>
    <w:rsid w:val="00E74883"/>
    <w:rsid w:val="00E75FDE"/>
    <w:rsid w:val="00E92382"/>
    <w:rsid w:val="00EA305C"/>
    <w:rsid w:val="00EB300B"/>
    <w:rsid w:val="00EB3977"/>
    <w:rsid w:val="00EC6EA2"/>
    <w:rsid w:val="00EC77B9"/>
    <w:rsid w:val="00ED2A53"/>
    <w:rsid w:val="00ED6DB4"/>
    <w:rsid w:val="00EE190A"/>
    <w:rsid w:val="00EF33A0"/>
    <w:rsid w:val="00EF7562"/>
    <w:rsid w:val="00F01805"/>
    <w:rsid w:val="00F01A5A"/>
    <w:rsid w:val="00F11594"/>
    <w:rsid w:val="00F20E41"/>
    <w:rsid w:val="00F21524"/>
    <w:rsid w:val="00F26143"/>
    <w:rsid w:val="00F261B1"/>
    <w:rsid w:val="00F26376"/>
    <w:rsid w:val="00F26DD1"/>
    <w:rsid w:val="00F317A8"/>
    <w:rsid w:val="00F34DB4"/>
    <w:rsid w:val="00F40EFF"/>
    <w:rsid w:val="00F42CE1"/>
    <w:rsid w:val="00F47CC9"/>
    <w:rsid w:val="00F61614"/>
    <w:rsid w:val="00F6385D"/>
    <w:rsid w:val="00F74D56"/>
    <w:rsid w:val="00FB77B4"/>
    <w:rsid w:val="00FC529F"/>
    <w:rsid w:val="00FC59A8"/>
    <w:rsid w:val="00FC6403"/>
    <w:rsid w:val="00FD4F45"/>
    <w:rsid w:val="00FE02CF"/>
    <w:rsid w:val="00FE4A18"/>
    <w:rsid w:val="00FE6AF6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26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  <w:style w:type="character" w:styleId="FollowedHyperlink">
    <w:name w:val="FollowedHyperlink"/>
    <w:basedOn w:val="DefaultParagraphFont"/>
    <w:uiPriority w:val="99"/>
    <w:semiHidden/>
    <w:unhideWhenUsed/>
    <w:rsid w:val="000710A7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2639"/>
    <w:rPr>
      <w:rFonts w:asciiTheme="majorHAnsi" w:eastAsiaTheme="majorEastAsia" w:hAnsiTheme="majorHAnsi" w:cstheme="majorBidi"/>
      <w:color w:val="2F5496" w:themeColor="accent1" w:themeShade="BF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99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2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arlosheitorcampani.com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chcfinance.com.br" TargetMode="External"/><Relationship Id="rId1" Type="http://schemas.openxmlformats.org/officeDocument/2006/relationships/hyperlink" Target="mailto:contato@chcfinance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2255</Words>
  <Characters>12855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 CHC</cp:lastModifiedBy>
  <cp:revision>8</cp:revision>
  <dcterms:created xsi:type="dcterms:W3CDTF">2023-05-18T17:30:00Z</dcterms:created>
  <dcterms:modified xsi:type="dcterms:W3CDTF">2024-10-28T15:30:00Z</dcterms:modified>
</cp:coreProperties>
</file>