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A3453" w14:textId="77777777" w:rsidR="00700B94" w:rsidRPr="00700B94" w:rsidRDefault="00700B94" w:rsidP="00700B94">
      <w:pPr>
        <w:spacing w:after="0"/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 w:rsidRPr="00700B94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>Com que Taxa Eu Vou?  Depende do Risco do Fluxo a Ser Descontado!</w:t>
      </w:r>
    </w:p>
    <w:p w14:paraId="4DF62825" w14:textId="77777777" w:rsidR="00700B94" w:rsidRPr="00700B94" w:rsidRDefault="00700B94" w:rsidP="00700B94">
      <w:pPr>
        <w:spacing w:after="0"/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 w:rsidRPr="00700B94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 xml:space="preserve">(Texto </w:t>
      </w:r>
      <w:bookmarkStart w:id="0" w:name="_Hlk52531453"/>
      <w:r w:rsidRPr="00700B94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 xml:space="preserve">#7 da Série: Conceitos Teóricos em </w:t>
      </w:r>
      <w:r w:rsidRPr="00700B94">
        <w:rPr>
          <w:rFonts w:asciiTheme="majorHAnsi" w:eastAsiaTheme="majorEastAsia" w:hAnsiTheme="majorHAnsi" w:cstheme="majorBidi"/>
          <w:i/>
          <w:iCs/>
          <w:color w:val="2F5496" w:themeColor="accent1" w:themeShade="BF"/>
          <w:sz w:val="28"/>
          <w:szCs w:val="28"/>
        </w:rPr>
        <w:t>Valuation</w:t>
      </w:r>
      <w:bookmarkEnd w:id="0"/>
      <w:r w:rsidRPr="00700B94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>)</w:t>
      </w:r>
    </w:p>
    <w:p w14:paraId="3460AAF8" w14:textId="053EC3D4" w:rsidR="003E7645" w:rsidRDefault="00A64B64" w:rsidP="00ED6DB4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  <w:r w:rsidRPr="00E53599">
        <w:rPr>
          <w:rFonts w:asciiTheme="minorHAnsi" w:eastAsiaTheme="minorHAnsi" w:hAnsiTheme="minorHAnsi" w:cstheme="minorBidi"/>
          <w:b/>
          <w:i/>
          <w:lang w:eastAsia="en-US"/>
        </w:rPr>
        <w:t>*Carlos Heitor Campani, Ph.D.</w:t>
      </w:r>
    </w:p>
    <w:p w14:paraId="1C1206CC" w14:textId="77777777" w:rsidR="001A7D30" w:rsidRPr="001A7D30" w:rsidRDefault="001A7D30" w:rsidP="001A7D30">
      <w:pPr>
        <w:spacing w:after="0"/>
        <w:ind w:left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267C317A" w14:textId="77777777" w:rsidR="003864C9" w:rsidRPr="003864C9" w:rsidRDefault="003864C9" w:rsidP="003864C9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Neste sétimo texto da série, vamos discutir um dos conceitos mais fundamentais em finanças e, mais especificamente, em </w:t>
      </w:r>
      <w:r w:rsidRPr="003864C9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valuation</w:t>
      </w:r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t>: a taxa de desconto utilizada para trazer o fluxo de caixa a valor presente. Essa discussão é relevante, pois a taxa de desconto impacta diretamente a análise</w:t>
      </w:r>
      <w:r w:rsidRPr="003864C9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 </w:t>
      </w:r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 pequenos desvios podem gerar avaliações bastante distintas. A boa teoria diz que esta taxa depende do </w:t>
      </w:r>
      <w:r w:rsidRPr="003864C9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risco associado ao fluxo que ela desconta</w:t>
      </w:r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t>: quanto maior esse risco, maior deve ser a taxa. Para ser didático, ilustrarei com uma operação de empréstimo e como devemos avaliar esse tipo de operação.</w:t>
      </w:r>
    </w:p>
    <w:p w14:paraId="0582CF18" w14:textId="77777777" w:rsidR="003864C9" w:rsidRPr="003864C9" w:rsidRDefault="003864C9" w:rsidP="003864C9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064F80EC" w14:textId="77777777" w:rsidR="003864C9" w:rsidRPr="003864C9" w:rsidRDefault="003864C9" w:rsidP="003864C9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Imagine a situação em que a empresa AAA empresta R$ 1 milhão para a empresa CCC. A empresa AAA tem um WACC atualmente calculado em 10% ao ano. Por sua vez, CCC encontra-se em situação financeira delicada, de forma que há alto risco de não conseguir honrar este empréstimo. Com isso, o mercado avalia que a taxa de juros adequada ao empréstimo seja mais alta: 20% ao ano. Portanto, o empréstimo se dá nessa taxa de juros, ou seja, dada pelo mercado. Pergunto, então, qual o VPL (valor presente líquido, ou seja, qual o </w:t>
      </w:r>
      <w:r w:rsidRPr="003864C9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valuation</w:t>
      </w:r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t>) deste empréstimo para a empresa AAA?</w:t>
      </w:r>
    </w:p>
    <w:p w14:paraId="33118FDD" w14:textId="77777777" w:rsidR="003864C9" w:rsidRPr="003864C9" w:rsidRDefault="003864C9" w:rsidP="003864C9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3C8D89E" w14:textId="77777777" w:rsidR="003864C9" w:rsidRPr="003864C9" w:rsidRDefault="003864C9" w:rsidP="003864C9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t>Note que a pergunta é importante, pois sairá dos cofres da empresa AAA o montante de R$ 1 milhão e entrará um empréstimo (fluxo a receber) em seu lugar no balanço. A resposta é simples e inequívoca: o empréstimo tem VPL zero porque a taxa de juros acordada é a taxa justa e adequada dado o risco da empresa tomadora (CCC). Em outras palavras, a taxa de desconto para o fluxo do empréstimo precisa ser 20% ao ano! Qualquer que seja o sistema de amortização acordado, faça as contas e verificaremos que o valor presente do fluxo do empréstimo será de R$ 1 milhão. Isso quer dizer que o VPL do empréstimo não será positivo, muito menos negativo, mas nulo.</w:t>
      </w:r>
    </w:p>
    <w:p w14:paraId="0B2AFC3E" w14:textId="77777777" w:rsidR="003864C9" w:rsidRPr="003864C9" w:rsidRDefault="003864C9" w:rsidP="003864C9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0B1B9E02" w14:textId="77777777" w:rsidR="003864C9" w:rsidRPr="003864C9" w:rsidRDefault="003864C9" w:rsidP="003864C9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>Aliás, sempre que a taxa de desconto igualar a taxa de juros do empréstimo, o VPL será nulo (lembre-se que o VPL é sempre zero quando a taxa de desconto iguala a TIR de um fluxo qualquer) – e isso acontecerá sempre que a taxa de empréstimo for coerente com o seu risco. Abaixo, apresento duas formas de pagamento para o empréstimo de R$ 1 milhão com 20% de juros em um prazo de cinco anos: com parcelas anuais constantes e com pagamento anual dos juros e amortização total ao final. Note que o VPL em ambos os casos a 20% é naturalmente nulo. Mas suponha agora que o empréstimo tenha sido a uma taxa cara, de forma que a taxa de desconto adequada fosse mais baixa (por exemplo, 10%): o empréstimo passa a gerar valor para a ponta credora. Já para empréstimos baratos (subsidiados a uma taxa mais baixa do que a taxa de desconto adequada – por exemplo, 30%), o valor é gerado para a ponta devedora (daí o valor negativo abaixo, na ponta credora). E observe que os valores são maiores na medida em que o pagamento do principal é mais postergado (fluxo 2).</w:t>
      </w:r>
    </w:p>
    <w:p w14:paraId="3D897124" w14:textId="77777777" w:rsidR="003864C9" w:rsidRPr="003864C9" w:rsidRDefault="003864C9" w:rsidP="003864C9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5CC657AE" w14:textId="77777777" w:rsidR="003864C9" w:rsidRPr="003864C9" w:rsidRDefault="003864C9" w:rsidP="000F12ED">
      <w:pPr>
        <w:spacing w:after="0"/>
        <w:jc w:val="center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3864C9"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drawing>
          <wp:inline distT="0" distB="0" distL="0" distR="0" wp14:anchorId="669A3DA3" wp14:editId="463B7BBE">
            <wp:extent cx="3295936" cy="1848010"/>
            <wp:effectExtent l="0" t="0" r="0" b="0"/>
            <wp:docPr id="1" name="Picture 1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o&#10;&#10;Descrição gerad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95936" cy="184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E93BD" w14:textId="77777777" w:rsidR="003864C9" w:rsidRPr="003864C9" w:rsidRDefault="003864C9" w:rsidP="003864C9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0169838" w14:textId="77777777" w:rsidR="003864C9" w:rsidRPr="003864C9" w:rsidRDefault="003864C9" w:rsidP="003864C9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 exemplo acima de </w:t>
      </w:r>
      <w:r w:rsidRPr="003864C9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valuation </w:t>
      </w:r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de um empréstimo é bem legal, pois deixa claro estarmos falando de duas coisas distintas: a taxa de juros do empréstimo e a taxa de desconto adequada ao seu </w:t>
      </w:r>
      <w:r w:rsidRPr="003864C9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valuation</w:t>
      </w:r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Esta última depende fundamentalmente do risco de crédito de quem toma o empréstimo (e de eventuais garantias colaterais que reduzam este risco). Por sua vez, a taxa de juros do empréstimo depende também de fatores exógenos (de mercado). Em geral, empréstimos caros nascem de alguma ineficiência do mercado, como por exemplo sua iliquidez: nesses casos, há um </w:t>
      </w:r>
      <w:r w:rsidRPr="003864C9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spread</w:t>
      </w:r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aplicado na taxa que seria a adequada ao risco. Já taxas subsidiadas podem surgir, por exemplo, de alguma política governamental de estímulo a algum tipo específico de projeto.</w:t>
      </w:r>
    </w:p>
    <w:p w14:paraId="2DDA7F07" w14:textId="77777777" w:rsidR="003864C9" w:rsidRPr="003864C9" w:rsidRDefault="003864C9" w:rsidP="003864C9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247EB90" w14:textId="77777777" w:rsidR="003864C9" w:rsidRPr="003864C9" w:rsidRDefault="003864C9" w:rsidP="003864C9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Em um mercado perfeitamente eficiente e sem nenhum tipo de subsídio, sim, essas duas taxas (de juros cobrados e de desconto) coincidirão e tornarão o VPL do empréstimo nulo. É preciso frisar que um empréstimo realizado a uma taxa adequada de mercado não pode criar valor, ou seja, jamais terá VPL positivo por si só. Mas note que essa é uma análise </w:t>
      </w:r>
      <w:r w:rsidRPr="003864C9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a priori</w:t>
      </w:r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Claro que se todos os empréstimos de alto risco forem pagos contratualmente, o resultado, </w:t>
      </w:r>
      <w:r w:rsidRPr="003864C9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a posteriori</w:t>
      </w:r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será positivo para o credor. Essa é uma confusão que muitos fazem. É preciso sempre ressaltar que um </w:t>
      </w:r>
      <w:r w:rsidRPr="003864C9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valuation </w:t>
      </w:r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é uma análise </w:t>
      </w:r>
      <w:r w:rsidRPr="003864C9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a priori </w:t>
      </w:r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e, com isso, carregada de incerteza: a taxa de desconto precisa justamente capturar a dimensão dessa incerteza. Se, no decorrer do tempo, essa incerteza se dissipar de forma positiva para a empresa, terá sido um ótimo negócio, caso contrário, poderá revelar um mau negócio, mas tudo isso </w:t>
      </w:r>
      <w:r w:rsidRPr="003864C9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a posteriori</w:t>
      </w:r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Este ponto (análise </w:t>
      </w:r>
      <w:r w:rsidRPr="003864C9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a priori vs</w:t>
      </w:r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análise </w:t>
      </w:r>
      <w:r w:rsidRPr="003864C9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a posteriori</w:t>
      </w:r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t>) é a origem de muitas confusões conceituais que já tive de lidar em sala de aula e com clientes.</w:t>
      </w:r>
    </w:p>
    <w:p w14:paraId="0C24B9C0" w14:textId="77777777" w:rsidR="003864C9" w:rsidRPr="003864C9" w:rsidRDefault="003864C9" w:rsidP="003864C9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7F6A455" w14:textId="75CB552F" w:rsidR="003864C9" w:rsidRPr="003864C9" w:rsidRDefault="003864C9" w:rsidP="003864C9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t>Uma outra confusão frequente diz respeito ao (falso) argumento de que o empréstimo deveria ser valorado no WACC da companhia AAA, “</w:t>
      </w:r>
      <w:r w:rsidRPr="003864C9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afinal de contas, é essa ta</w:t>
      </w:r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xa que a empresa AAA precisará entregar para seus credores e acionistas”. Esse argumento está conceitualmente equivocado e recai no erro número 5 tratado no quinto texto desta série. Isso porque a teoria é clara: a taxa de desconto deve ser ajustada pelo risco do fluxo que ela desconta (ou seja, pelo risco de a empresa tomadora não conseguir pagar), e não se relaciona com a origem do dinheiro que será emprestado. Na verdade, há um problema de inversão de causa e efeito aqui: o WACC é o efeito da estrutura de capital e do risco dos negócios da empresa e não a causa. </w:t>
      </w:r>
    </w:p>
    <w:p w14:paraId="4C0B49D0" w14:textId="77777777" w:rsidR="003864C9" w:rsidRPr="003864C9" w:rsidRDefault="003864C9" w:rsidP="003864C9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681B90FE" w14:textId="77777777" w:rsidR="003864C9" w:rsidRPr="003864C9" w:rsidRDefault="003864C9" w:rsidP="003864C9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t>Dessa forma, usar o WACC da empresa AAA (que se originou de sua operação e estrutura de capital anteriores) para descontar o fluxo do empréstimo é misturar banana com maçã, pois são negócios absolutamente distintos (e com riscos distintos). Isso geraria um valor artificial, que simplesmente não está na mesa. Como o empréstimo tem perfil de risco diferente do perfil médio de risco da empresa AAA até então, o WACC não pode ser utilizado.</w:t>
      </w:r>
    </w:p>
    <w:p w14:paraId="049657B7" w14:textId="77777777" w:rsidR="003864C9" w:rsidRPr="003864C9" w:rsidRDefault="003864C9" w:rsidP="003864C9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6AFA920" w14:textId="77777777" w:rsidR="003864C9" w:rsidRPr="003864C9" w:rsidRDefault="003864C9" w:rsidP="003864C9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>Na prática, o que acontece é que, após o empréstimo, o nível de risco dos negócios da empresa AAA aumenta e o WACC será impactado (efeito, não a causa) por este novo negócio da companhia (o empréstimo de alto risco): o novo WACC será maior que 10%. Em última instância, se repentinamente o empréstimo para a empresa CCC se tornar o único negócio de AAA, seu novo WACC passará a ser, inequivocamente, 20% ao ano (o WACC anterior perderia totalmente sentido).</w:t>
      </w:r>
    </w:p>
    <w:p w14:paraId="6BF7F974" w14:textId="77777777" w:rsidR="003864C9" w:rsidRPr="003864C9" w:rsidRDefault="003864C9" w:rsidP="003864C9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2329C643" w14:textId="77777777" w:rsidR="003864C9" w:rsidRPr="003864C9" w:rsidRDefault="003864C9" w:rsidP="003864C9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t>O novo WACC da empresa AAA (pós-empréstimo) servirá para descontar os fluxos de caixa da empresa em conjunto (ou seja, provenientes dos negócios que já existiam e do empréstimo), mas jamais apenas o fluxo do empréstimo. Isto pois o WACC representa um custo médio e não específico de um ou outro negócio. Em outras palavras, o empréstimo de alto risco é a causa e o novo WACC, o efeito – não o inverso. Este conceito é importantíssimo.</w:t>
      </w:r>
    </w:p>
    <w:p w14:paraId="14A7BA34" w14:textId="77777777" w:rsidR="003864C9" w:rsidRPr="003864C9" w:rsidRDefault="003864C9" w:rsidP="003864C9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019F29C5" w14:textId="77777777" w:rsidR="003864C9" w:rsidRPr="003864C9" w:rsidRDefault="003864C9" w:rsidP="003864C9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t>Na prática, para empresas de grande porte, pequenos projetos terão impacto muitas vezes desprezível em seu WACC: verdade. Mas, de forma alguma, isso significa uma justificativa para se utilizar o WACC como taxa de desconto para projetos com risco diferente do risco médio das operações da companhia. Afinal de contas, o WACC é a consequência (efeito), jamais a origem (causa)! Simples assim.</w:t>
      </w:r>
    </w:p>
    <w:p w14:paraId="52122BFA" w14:textId="77777777" w:rsidR="003864C9" w:rsidRPr="003864C9" w:rsidRDefault="003864C9" w:rsidP="003864C9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E2E059E" w14:textId="77777777" w:rsidR="003864C9" w:rsidRPr="003864C9" w:rsidRDefault="003864C9" w:rsidP="003864C9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t>Forte abraço a todos vocês.</w:t>
      </w:r>
    </w:p>
    <w:p w14:paraId="4D65513A" w14:textId="77777777" w:rsidR="00FE6AF6" w:rsidRDefault="00FE6AF6" w:rsidP="00862BAF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</w:p>
    <w:p w14:paraId="1EC55CC6" w14:textId="285B30A1" w:rsidR="00BE797C" w:rsidRDefault="00A64B64" w:rsidP="00862BAF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  <w:r w:rsidRPr="005C7A11">
        <w:rPr>
          <w:rFonts w:asciiTheme="minorHAnsi" w:eastAsiaTheme="minorHAnsi" w:hAnsiTheme="minorHAnsi" w:cstheme="minorBidi"/>
          <w:b/>
          <w:i/>
          <w:lang w:eastAsia="en-US"/>
        </w:rPr>
        <w:t>* Carlos Heitor Campani é PhD em Finanças, Pesquisador da Cátedra Brasilprev em Previdência e da ENS – Escola de Negócios e Seguros, Diretor Acadêmico da iluminus – Academia de Finanças e sócio-fundador da CHC Treinamento e Consultoria. Ele pode ser encontrado em</w:t>
      </w:r>
      <w:r>
        <w:rPr>
          <w:b/>
          <w:i/>
        </w:rPr>
        <w:t xml:space="preserve"> </w:t>
      </w:r>
      <w:hyperlink r:id="rId9" w:history="1">
        <w:r w:rsidRPr="0050138C">
          <w:rPr>
            <w:rStyle w:val="Hyperlink"/>
            <w:rFonts w:asciiTheme="minorHAnsi" w:eastAsiaTheme="minorHAnsi" w:hAnsiTheme="minorHAnsi" w:cstheme="minorBidi"/>
            <w:b/>
            <w:i/>
            <w:color w:val="0000FF"/>
            <w:lang w:eastAsia="en-US"/>
          </w:rPr>
          <w:t>www.carlosheitorcampani.com</w:t>
        </w:r>
      </w:hyperlink>
      <w:r w:rsidRPr="00F37C29">
        <w:rPr>
          <w:b/>
          <w:i/>
        </w:rPr>
        <w:t xml:space="preserve"> </w:t>
      </w:r>
      <w:r w:rsidRPr="005C7A11">
        <w:rPr>
          <w:rFonts w:asciiTheme="minorHAnsi" w:eastAsiaTheme="minorHAnsi" w:hAnsiTheme="minorHAnsi" w:cstheme="minorBidi"/>
          <w:b/>
          <w:i/>
          <w:lang w:eastAsia="en-US"/>
        </w:rPr>
        <w:t>e nas redes sociais: @carlosheitorcampani.</w:t>
      </w:r>
    </w:p>
    <w:sectPr w:rsidR="00BE797C" w:rsidSect="00A64B64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8" w:right="1376" w:bottom="1418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CD4D4" w14:textId="77777777" w:rsidR="003B44C8" w:rsidRDefault="003B44C8" w:rsidP="004D2193">
      <w:r>
        <w:separator/>
      </w:r>
    </w:p>
  </w:endnote>
  <w:endnote w:type="continuationSeparator" w:id="0">
    <w:p w14:paraId="3F26EBFE" w14:textId="77777777" w:rsidR="003B44C8" w:rsidRDefault="003B44C8" w:rsidP="004D2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(Corpo)">
    <w:altName w:val="Calibri"/>
    <w:charset w:val="00"/>
    <w:family w:val="roman"/>
    <w:pitch w:val="default"/>
  </w:font>
  <w:font w:name="Times New Roman (Títulos CS)">
    <w:altName w:val="Times New Roman"/>
    <w:charset w:val="00"/>
    <w:family w:val="roman"/>
    <w:pitch w:val="default"/>
  </w:font>
  <w:font w:name="Bona Nova">
    <w:altName w:val="Calibri"/>
    <w:charset w:val="00"/>
    <w:family w:val="auto"/>
    <w:pitch w:val="variable"/>
    <w:sig w:usb0="A0002AFF" w:usb1="C200E0FB" w:usb2="01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02A63" w14:textId="073E422F" w:rsidR="00E010F7" w:rsidRDefault="00A4666F" w:rsidP="004D2193"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827C138" wp14:editId="0EF25F42">
              <wp:simplePos x="0" y="0"/>
              <wp:positionH relativeFrom="margin">
                <wp:align>center</wp:align>
              </wp:positionH>
              <wp:positionV relativeFrom="paragraph">
                <wp:posOffset>445753</wp:posOffset>
              </wp:positionV>
              <wp:extent cx="1709391" cy="313898"/>
              <wp:effectExtent l="0" t="0" r="0" b="0"/>
              <wp:wrapNone/>
              <wp:docPr id="2" name="Caixa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9391" cy="3138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9663310" w14:textId="77777777" w:rsidR="00A4666F" w:rsidRPr="00FC6403" w:rsidRDefault="00A4666F" w:rsidP="00A4666F">
                          <w:pPr>
                            <w:pStyle w:val="NoSpacing"/>
                            <w:spacing w:line="288" w:lineRule="auto"/>
                            <w:jc w:val="right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consultoriachc.com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27C138" id="_x0000_t202" coordsize="21600,21600" o:spt="202" path="m,l,21600r21600,l21600,xe">
              <v:stroke joinstyle="miter"/>
              <v:path gradientshapeok="t" o:connecttype="rect"/>
            </v:shapetype>
            <v:shape id="Caixa de Texto 10" o:spid="_x0000_s1026" type="#_x0000_t202" style="position:absolute;left:0;text-align:left;margin-left:0;margin-top:35.1pt;width:134.6pt;height:24.7pt;z-index: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" filled="f" stroked="f" strokeweight=".5pt">
              <v:textbox>
                <w:txbxContent>
                  <w:p w14:paraId="69663310" w14:textId="77777777" w:rsidR="00A4666F" w:rsidRPr="00FC6403" w:rsidRDefault="00A4666F" w:rsidP="00A4666F">
                    <w:pPr>
                      <w:pStyle w:val="NoSpacing"/>
                      <w:spacing w:line="288" w:lineRule="auto"/>
                      <w:jc w:val="right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t>consultoriachc.com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1379A" w14:textId="4871BAA1" w:rsidR="00E010F7" w:rsidRDefault="00A3682D" w:rsidP="004D2193"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67AC6A1" wp14:editId="044E4063">
              <wp:simplePos x="0" y="0"/>
              <wp:positionH relativeFrom="margin">
                <wp:align>center</wp:align>
              </wp:positionH>
              <wp:positionV relativeFrom="paragraph">
                <wp:posOffset>415148</wp:posOffset>
              </wp:positionV>
              <wp:extent cx="1709391" cy="313898"/>
              <wp:effectExtent l="0" t="0" r="0" b="0"/>
              <wp:wrapNone/>
              <wp:docPr id="10" name="Caixa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9391" cy="3138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851B0D" w14:textId="7F429313" w:rsidR="0054452C" w:rsidRPr="00FC6403" w:rsidRDefault="0054452C" w:rsidP="0054452C">
                          <w:pPr>
                            <w:pStyle w:val="NoSpacing"/>
                            <w:spacing w:line="288" w:lineRule="auto"/>
                            <w:jc w:val="right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 w:rsidR="00A3682D">
                            <w:rPr>
                              <w:rFonts w:ascii="Bona Nova" w:hAnsi="Bona Nova" w:cs="Bona Nova"/>
                              <w:color w:val="E7D188"/>
                            </w:rPr>
                            <w:t>consultoriachc.com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7AC6A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0;margin-top:32.7pt;width:134.6pt;height:24.7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" filled="f" stroked="f" strokeweight=".5pt">
              <v:textbox>
                <w:txbxContent>
                  <w:p w14:paraId="59851B0D" w14:textId="7F429313" w:rsidR="0054452C" w:rsidRPr="00FC6403" w:rsidRDefault="0054452C" w:rsidP="0054452C">
                    <w:pPr>
                      <w:pStyle w:val="NoSpacing"/>
                      <w:spacing w:line="288" w:lineRule="auto"/>
                      <w:jc w:val="right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 w:rsidR="00A3682D">
                      <w:rPr>
                        <w:rFonts w:ascii="Bona Nova" w:hAnsi="Bona Nova" w:cs="Bona Nova"/>
                        <w:color w:val="E7D188"/>
                      </w:rPr>
                      <w:t>consultoriachc.com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346D25" w14:textId="77777777" w:rsidR="003B44C8" w:rsidRDefault="003B44C8" w:rsidP="004D2193">
      <w:r>
        <w:separator/>
      </w:r>
    </w:p>
  </w:footnote>
  <w:footnote w:type="continuationSeparator" w:id="0">
    <w:p w14:paraId="29BA12A5" w14:textId="77777777" w:rsidR="003B44C8" w:rsidRDefault="003B44C8" w:rsidP="004D21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75989150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8DFDC71" w14:textId="1A171BCC" w:rsidR="00866539" w:rsidRDefault="00866539" w:rsidP="0044428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64B6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47CD561" w14:textId="763040BC" w:rsidR="00A756EC" w:rsidRDefault="00BC4192" w:rsidP="00866539">
    <w:pPr>
      <w:pStyle w:val="Header"/>
      <w:ind w:right="360"/>
    </w:pPr>
    <w:r>
      <w:rPr>
        <w:noProof/>
      </w:rPr>
      <w:pict w14:anchorId="343052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898" o:spid="_x0000_s1025" type="#_x0000_t75" alt="" style="position:absolute;left:0;text-align:left;margin-left:0;margin-top:0;width:707pt;height:1000pt;z-index:-2516546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4D939" w14:textId="113107B9" w:rsidR="00E010F7" w:rsidRDefault="00C96979" w:rsidP="00866539">
    <w:pPr>
      <w:ind w:right="360"/>
    </w:pPr>
    <w:r>
      <w:rPr>
        <w:noProof/>
      </w:rPr>
      <w:drawing>
        <wp:anchor distT="0" distB="0" distL="114300" distR="114300" simplePos="0" relativeHeight="251654656" behindDoc="1" locked="0" layoutInCell="1" allowOverlap="1" wp14:anchorId="2A059F36" wp14:editId="21020ADE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943850" cy="10767060"/>
          <wp:effectExtent l="0" t="0" r="0" b="0"/>
          <wp:wrapNone/>
          <wp:docPr id="95" name="Picture 95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943850" cy="10767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3E4F" w:rsidRPr="00D53617">
      <w:rPr>
        <w:noProof/>
      </w:rPr>
      <w:drawing>
        <wp:anchor distT="0" distB="0" distL="114300" distR="114300" simplePos="0" relativeHeight="251653632" behindDoc="0" locked="0" layoutInCell="1" allowOverlap="1" wp14:anchorId="32526AF1" wp14:editId="376B30DC">
          <wp:simplePos x="0" y="0"/>
          <wp:positionH relativeFrom="column">
            <wp:posOffset>1239520</wp:posOffset>
          </wp:positionH>
          <wp:positionV relativeFrom="paragraph">
            <wp:posOffset>3900187</wp:posOffset>
          </wp:positionV>
          <wp:extent cx="4967605" cy="5180965"/>
          <wp:effectExtent l="0" t="0" r="4445" b="635"/>
          <wp:wrapNone/>
          <wp:docPr id="93" name="Picture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 rotWithShape="1">
                  <a:blip r:embed="rId2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1"/>
                  <a:stretch/>
                </pic:blipFill>
                <pic:spPr>
                  <a:xfrm>
                    <a:off x="0" y="0"/>
                    <a:ext cx="4967605" cy="5180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666F">
      <w:rPr>
        <w:noProof/>
      </w:rPr>
      <w:drawing>
        <wp:anchor distT="0" distB="0" distL="114300" distR="114300" simplePos="0" relativeHeight="251658752" behindDoc="0" locked="0" layoutInCell="1" allowOverlap="1" wp14:anchorId="7ABEDB53" wp14:editId="1BDB3CCA">
          <wp:simplePos x="0" y="0"/>
          <wp:positionH relativeFrom="margin">
            <wp:posOffset>1170940</wp:posOffset>
          </wp:positionH>
          <wp:positionV relativeFrom="paragraph">
            <wp:posOffset>-342917</wp:posOffset>
          </wp:positionV>
          <wp:extent cx="3058510" cy="461957"/>
          <wp:effectExtent l="0" t="0" r="0" b="0"/>
          <wp:wrapNone/>
          <wp:docPr id="94" name="Picture 94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m 49" descr="Logo&#10;&#10;Description automatically generated with medium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574" b="36574"/>
                  <a:stretch>
                    <a:fillRect/>
                  </a:stretch>
                </pic:blipFill>
                <pic:spPr bwMode="auto">
                  <a:xfrm>
                    <a:off x="0" y="0"/>
                    <a:ext cx="3058510" cy="4619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2A678" w14:textId="1483F81E" w:rsidR="004327E5" w:rsidRDefault="00BE797C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4A69BE02" wp14:editId="25D25CE2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48773" cy="10783536"/>
          <wp:effectExtent l="0" t="0" r="0" b="0"/>
          <wp:wrapNone/>
          <wp:docPr id="96" name="Picture 96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548773" cy="107835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5AC9" w:rsidRPr="00D53617">
      <w:rPr>
        <w:noProof/>
      </w:rPr>
      <w:drawing>
        <wp:anchor distT="0" distB="0" distL="114300" distR="114300" simplePos="0" relativeHeight="251660800" behindDoc="0" locked="0" layoutInCell="1" allowOverlap="1" wp14:anchorId="44B6BEA2" wp14:editId="583C6BE9">
          <wp:simplePos x="0" y="0"/>
          <wp:positionH relativeFrom="column">
            <wp:posOffset>1250315</wp:posOffset>
          </wp:positionH>
          <wp:positionV relativeFrom="paragraph">
            <wp:posOffset>3896377</wp:posOffset>
          </wp:positionV>
          <wp:extent cx="4968110" cy="5181367"/>
          <wp:effectExtent l="0" t="0" r="4445" b="635"/>
          <wp:wrapNone/>
          <wp:docPr id="97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 rotWithShape="1">
                  <a:blip r:embed="rId2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1"/>
                  <a:stretch/>
                </pic:blipFill>
                <pic:spPr>
                  <a:xfrm>
                    <a:off x="0" y="0"/>
                    <a:ext cx="4968110" cy="51813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36C8">
      <w:rPr>
        <w:noProof/>
      </w:rPr>
      <w:drawing>
        <wp:anchor distT="0" distB="0" distL="114300" distR="114300" simplePos="0" relativeHeight="251656704" behindDoc="0" locked="0" layoutInCell="1" allowOverlap="1" wp14:anchorId="30FD85B0" wp14:editId="4488C325">
          <wp:simplePos x="0" y="0"/>
          <wp:positionH relativeFrom="margin">
            <wp:align>center</wp:align>
          </wp:positionH>
          <wp:positionV relativeFrom="paragraph">
            <wp:posOffset>-327660</wp:posOffset>
          </wp:positionV>
          <wp:extent cx="3058510" cy="461957"/>
          <wp:effectExtent l="0" t="0" r="0" b="0"/>
          <wp:wrapNone/>
          <wp:docPr id="98" name="Picture 98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m 49" descr="Logo&#10;&#10;Description automatically generated with medium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574" b="36574"/>
                  <a:stretch>
                    <a:fillRect/>
                  </a:stretch>
                </pic:blipFill>
                <pic:spPr bwMode="auto">
                  <a:xfrm>
                    <a:off x="0" y="0"/>
                    <a:ext cx="3058510" cy="4619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B21F1"/>
    <w:multiLevelType w:val="hybridMultilevel"/>
    <w:tmpl w:val="8D20909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F250A"/>
    <w:multiLevelType w:val="hybridMultilevel"/>
    <w:tmpl w:val="66BE0774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7143E9"/>
    <w:multiLevelType w:val="hybridMultilevel"/>
    <w:tmpl w:val="2BFAA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E8296C"/>
    <w:multiLevelType w:val="hybridMultilevel"/>
    <w:tmpl w:val="9D2E8CEA"/>
    <w:lvl w:ilvl="0" w:tplc="0416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4" w15:restartNumberingAfterBreak="0">
    <w:nsid w:val="24BD2189"/>
    <w:multiLevelType w:val="multilevel"/>
    <w:tmpl w:val="026E9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263E4E"/>
    <w:multiLevelType w:val="hybridMultilevel"/>
    <w:tmpl w:val="D46E04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F06F1D"/>
    <w:multiLevelType w:val="hybridMultilevel"/>
    <w:tmpl w:val="67FCA7F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C83195"/>
    <w:multiLevelType w:val="hybridMultilevel"/>
    <w:tmpl w:val="0A8E2C86"/>
    <w:lvl w:ilvl="0" w:tplc="86501EC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E8437E"/>
    <w:multiLevelType w:val="hybridMultilevel"/>
    <w:tmpl w:val="01BA9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EC1870"/>
    <w:multiLevelType w:val="hybridMultilevel"/>
    <w:tmpl w:val="89449A9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15047B"/>
    <w:multiLevelType w:val="hybridMultilevel"/>
    <w:tmpl w:val="3E6061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233588"/>
    <w:multiLevelType w:val="hybridMultilevel"/>
    <w:tmpl w:val="B8482D52"/>
    <w:lvl w:ilvl="0" w:tplc="2F369C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9803E6"/>
    <w:multiLevelType w:val="hybridMultilevel"/>
    <w:tmpl w:val="8258DAC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50588E"/>
    <w:multiLevelType w:val="hybridMultilevel"/>
    <w:tmpl w:val="9976C12C"/>
    <w:lvl w:ilvl="0" w:tplc="97F2C49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EB48E8"/>
    <w:multiLevelType w:val="hybridMultilevel"/>
    <w:tmpl w:val="E6E2EDA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2D7E79"/>
    <w:multiLevelType w:val="hybridMultilevel"/>
    <w:tmpl w:val="7FB81DA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A57A64"/>
    <w:multiLevelType w:val="multilevel"/>
    <w:tmpl w:val="2E78222C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FDC6B4D"/>
    <w:multiLevelType w:val="hybridMultilevel"/>
    <w:tmpl w:val="885A734C"/>
    <w:lvl w:ilvl="0" w:tplc="0416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0612100">
    <w:abstractNumId w:val="16"/>
  </w:num>
  <w:num w:numId="2" w16cid:durableId="584147039">
    <w:abstractNumId w:val="4"/>
  </w:num>
  <w:num w:numId="3" w16cid:durableId="1713310607">
    <w:abstractNumId w:val="3"/>
  </w:num>
  <w:num w:numId="4" w16cid:durableId="1120028956">
    <w:abstractNumId w:val="7"/>
  </w:num>
  <w:num w:numId="5" w16cid:durableId="756096207">
    <w:abstractNumId w:val="11"/>
  </w:num>
  <w:num w:numId="6" w16cid:durableId="1762288043">
    <w:abstractNumId w:val="5"/>
  </w:num>
  <w:num w:numId="7" w16cid:durableId="2006543480">
    <w:abstractNumId w:val="17"/>
  </w:num>
  <w:num w:numId="8" w16cid:durableId="554195949">
    <w:abstractNumId w:val="1"/>
  </w:num>
  <w:num w:numId="9" w16cid:durableId="1559320234">
    <w:abstractNumId w:val="0"/>
  </w:num>
  <w:num w:numId="10" w16cid:durableId="937253097">
    <w:abstractNumId w:val="8"/>
  </w:num>
  <w:num w:numId="11" w16cid:durableId="706836987">
    <w:abstractNumId w:val="2"/>
  </w:num>
  <w:num w:numId="12" w16cid:durableId="1820264157">
    <w:abstractNumId w:val="13"/>
  </w:num>
  <w:num w:numId="13" w16cid:durableId="147282701">
    <w:abstractNumId w:val="6"/>
  </w:num>
  <w:num w:numId="14" w16cid:durableId="1362515045">
    <w:abstractNumId w:val="9"/>
  </w:num>
  <w:num w:numId="15" w16cid:durableId="357001064">
    <w:abstractNumId w:val="15"/>
  </w:num>
  <w:num w:numId="16" w16cid:durableId="1109353731">
    <w:abstractNumId w:val="14"/>
  </w:num>
  <w:num w:numId="17" w16cid:durableId="1271621187">
    <w:abstractNumId w:val="10"/>
  </w:num>
  <w:num w:numId="18" w16cid:durableId="157647888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1E2"/>
    <w:rsid w:val="00006C43"/>
    <w:rsid w:val="0005035F"/>
    <w:rsid w:val="00055DE0"/>
    <w:rsid w:val="000608DD"/>
    <w:rsid w:val="000710A7"/>
    <w:rsid w:val="000713F5"/>
    <w:rsid w:val="000724E9"/>
    <w:rsid w:val="00081A1F"/>
    <w:rsid w:val="000974EC"/>
    <w:rsid w:val="000A64F6"/>
    <w:rsid w:val="000C35AE"/>
    <w:rsid w:val="000C6C83"/>
    <w:rsid w:val="000D2394"/>
    <w:rsid w:val="000D2AC9"/>
    <w:rsid w:val="000D4DE4"/>
    <w:rsid w:val="000F12ED"/>
    <w:rsid w:val="000F13A5"/>
    <w:rsid w:val="000F4ABA"/>
    <w:rsid w:val="00110BC4"/>
    <w:rsid w:val="00124820"/>
    <w:rsid w:val="00133A93"/>
    <w:rsid w:val="00134137"/>
    <w:rsid w:val="00143F7C"/>
    <w:rsid w:val="0015735C"/>
    <w:rsid w:val="0016631D"/>
    <w:rsid w:val="00167D1C"/>
    <w:rsid w:val="00176CC2"/>
    <w:rsid w:val="00180F09"/>
    <w:rsid w:val="001854C8"/>
    <w:rsid w:val="00187431"/>
    <w:rsid w:val="001928E6"/>
    <w:rsid w:val="001962E8"/>
    <w:rsid w:val="001A2C53"/>
    <w:rsid w:val="001A5040"/>
    <w:rsid w:val="001A7D30"/>
    <w:rsid w:val="001B4BE7"/>
    <w:rsid w:val="001B593B"/>
    <w:rsid w:val="001E22FC"/>
    <w:rsid w:val="001F0256"/>
    <w:rsid w:val="001F0F36"/>
    <w:rsid w:val="001F4648"/>
    <w:rsid w:val="00204504"/>
    <w:rsid w:val="0021096B"/>
    <w:rsid w:val="002206C9"/>
    <w:rsid w:val="00223E4F"/>
    <w:rsid w:val="0023793F"/>
    <w:rsid w:val="00244BE5"/>
    <w:rsid w:val="00245E73"/>
    <w:rsid w:val="00246718"/>
    <w:rsid w:val="002539B1"/>
    <w:rsid w:val="0025521D"/>
    <w:rsid w:val="0027142F"/>
    <w:rsid w:val="0027328E"/>
    <w:rsid w:val="00294A05"/>
    <w:rsid w:val="002A443D"/>
    <w:rsid w:val="002A5951"/>
    <w:rsid w:val="002A7B47"/>
    <w:rsid w:val="002B227C"/>
    <w:rsid w:val="002C08A3"/>
    <w:rsid w:val="002C3239"/>
    <w:rsid w:val="002C580D"/>
    <w:rsid w:val="002C6A0E"/>
    <w:rsid w:val="002D2503"/>
    <w:rsid w:val="002E0C62"/>
    <w:rsid w:val="002E279F"/>
    <w:rsid w:val="002E3046"/>
    <w:rsid w:val="00302005"/>
    <w:rsid w:val="00305A52"/>
    <w:rsid w:val="0031272F"/>
    <w:rsid w:val="00313C18"/>
    <w:rsid w:val="00315C75"/>
    <w:rsid w:val="003346F3"/>
    <w:rsid w:val="00340845"/>
    <w:rsid w:val="0034523C"/>
    <w:rsid w:val="0034637C"/>
    <w:rsid w:val="003468B1"/>
    <w:rsid w:val="003474DC"/>
    <w:rsid w:val="0035305A"/>
    <w:rsid w:val="00366A9B"/>
    <w:rsid w:val="00367C2B"/>
    <w:rsid w:val="003726D3"/>
    <w:rsid w:val="00383210"/>
    <w:rsid w:val="003864C9"/>
    <w:rsid w:val="00390B22"/>
    <w:rsid w:val="003A068C"/>
    <w:rsid w:val="003A651D"/>
    <w:rsid w:val="003B0E57"/>
    <w:rsid w:val="003B42F4"/>
    <w:rsid w:val="003B44C8"/>
    <w:rsid w:val="003B6073"/>
    <w:rsid w:val="003C3CE3"/>
    <w:rsid w:val="003C4250"/>
    <w:rsid w:val="003E268C"/>
    <w:rsid w:val="003E2D0C"/>
    <w:rsid w:val="003E46B9"/>
    <w:rsid w:val="003E7587"/>
    <w:rsid w:val="003E7645"/>
    <w:rsid w:val="003E7DBC"/>
    <w:rsid w:val="004007F4"/>
    <w:rsid w:val="004017D3"/>
    <w:rsid w:val="00414903"/>
    <w:rsid w:val="004242CE"/>
    <w:rsid w:val="00424DA3"/>
    <w:rsid w:val="004327E5"/>
    <w:rsid w:val="00447492"/>
    <w:rsid w:val="0045047D"/>
    <w:rsid w:val="004540B7"/>
    <w:rsid w:val="00465A38"/>
    <w:rsid w:val="00470802"/>
    <w:rsid w:val="00472DBA"/>
    <w:rsid w:val="00475D27"/>
    <w:rsid w:val="00476656"/>
    <w:rsid w:val="0048151F"/>
    <w:rsid w:val="00486616"/>
    <w:rsid w:val="00497FC0"/>
    <w:rsid w:val="004C1E11"/>
    <w:rsid w:val="004D2193"/>
    <w:rsid w:val="004D3CE2"/>
    <w:rsid w:val="004E34F4"/>
    <w:rsid w:val="0050138C"/>
    <w:rsid w:val="0050382E"/>
    <w:rsid w:val="00525A1A"/>
    <w:rsid w:val="005266F1"/>
    <w:rsid w:val="00533009"/>
    <w:rsid w:val="005441D3"/>
    <w:rsid w:val="0054452C"/>
    <w:rsid w:val="00550038"/>
    <w:rsid w:val="0055139F"/>
    <w:rsid w:val="00553862"/>
    <w:rsid w:val="00555019"/>
    <w:rsid w:val="005611A6"/>
    <w:rsid w:val="00562414"/>
    <w:rsid w:val="00563F7A"/>
    <w:rsid w:val="00575C4C"/>
    <w:rsid w:val="005767B1"/>
    <w:rsid w:val="005838F6"/>
    <w:rsid w:val="0058422E"/>
    <w:rsid w:val="0058659E"/>
    <w:rsid w:val="005900E1"/>
    <w:rsid w:val="005C7A11"/>
    <w:rsid w:val="005D5CB0"/>
    <w:rsid w:val="005E30EE"/>
    <w:rsid w:val="005F63C2"/>
    <w:rsid w:val="00600FDA"/>
    <w:rsid w:val="00605765"/>
    <w:rsid w:val="00614BD3"/>
    <w:rsid w:val="0063017C"/>
    <w:rsid w:val="00637ACB"/>
    <w:rsid w:val="00651243"/>
    <w:rsid w:val="00652BF2"/>
    <w:rsid w:val="00671D0B"/>
    <w:rsid w:val="00686CCD"/>
    <w:rsid w:val="006A085B"/>
    <w:rsid w:val="006B328A"/>
    <w:rsid w:val="006B400D"/>
    <w:rsid w:val="006B4D62"/>
    <w:rsid w:val="006D154F"/>
    <w:rsid w:val="006D43A5"/>
    <w:rsid w:val="006D4DE9"/>
    <w:rsid w:val="006E4A58"/>
    <w:rsid w:val="006E64C6"/>
    <w:rsid w:val="006F38A0"/>
    <w:rsid w:val="00700B94"/>
    <w:rsid w:val="007234DF"/>
    <w:rsid w:val="00723B58"/>
    <w:rsid w:val="00730DA5"/>
    <w:rsid w:val="0073537C"/>
    <w:rsid w:val="00750D39"/>
    <w:rsid w:val="00752059"/>
    <w:rsid w:val="00752B4F"/>
    <w:rsid w:val="00754435"/>
    <w:rsid w:val="00757DFB"/>
    <w:rsid w:val="00765C50"/>
    <w:rsid w:val="00772DF1"/>
    <w:rsid w:val="00782DE9"/>
    <w:rsid w:val="00783126"/>
    <w:rsid w:val="00784537"/>
    <w:rsid w:val="007942F3"/>
    <w:rsid w:val="00795312"/>
    <w:rsid w:val="0079677D"/>
    <w:rsid w:val="007A344E"/>
    <w:rsid w:val="007A68E2"/>
    <w:rsid w:val="007A747D"/>
    <w:rsid w:val="007B2B89"/>
    <w:rsid w:val="007B2C3C"/>
    <w:rsid w:val="007B3840"/>
    <w:rsid w:val="007C4B0E"/>
    <w:rsid w:val="007D63FE"/>
    <w:rsid w:val="007E6C30"/>
    <w:rsid w:val="00801B7B"/>
    <w:rsid w:val="00804AC7"/>
    <w:rsid w:val="008131C4"/>
    <w:rsid w:val="0081751D"/>
    <w:rsid w:val="00822E82"/>
    <w:rsid w:val="00824262"/>
    <w:rsid w:val="00827B27"/>
    <w:rsid w:val="00842BC9"/>
    <w:rsid w:val="0084376E"/>
    <w:rsid w:val="00843DEB"/>
    <w:rsid w:val="008442A1"/>
    <w:rsid w:val="00844C04"/>
    <w:rsid w:val="00850F4C"/>
    <w:rsid w:val="008615C3"/>
    <w:rsid w:val="00862BAF"/>
    <w:rsid w:val="00866539"/>
    <w:rsid w:val="00867233"/>
    <w:rsid w:val="008806B3"/>
    <w:rsid w:val="00890A6C"/>
    <w:rsid w:val="008A007B"/>
    <w:rsid w:val="008A44DA"/>
    <w:rsid w:val="008C0387"/>
    <w:rsid w:val="008D4298"/>
    <w:rsid w:val="008D62E7"/>
    <w:rsid w:val="008D73E9"/>
    <w:rsid w:val="008E1B50"/>
    <w:rsid w:val="008F22F2"/>
    <w:rsid w:val="00903689"/>
    <w:rsid w:val="009041E2"/>
    <w:rsid w:val="00905371"/>
    <w:rsid w:val="00906FE1"/>
    <w:rsid w:val="009110B4"/>
    <w:rsid w:val="0091331F"/>
    <w:rsid w:val="0091571B"/>
    <w:rsid w:val="009171A8"/>
    <w:rsid w:val="00921B19"/>
    <w:rsid w:val="00930B67"/>
    <w:rsid w:val="00930F53"/>
    <w:rsid w:val="009406AD"/>
    <w:rsid w:val="0094116A"/>
    <w:rsid w:val="00951B9F"/>
    <w:rsid w:val="00960212"/>
    <w:rsid w:val="00963C2E"/>
    <w:rsid w:val="009709BD"/>
    <w:rsid w:val="00972FA2"/>
    <w:rsid w:val="00974C35"/>
    <w:rsid w:val="00981E81"/>
    <w:rsid w:val="0098706C"/>
    <w:rsid w:val="009D17A8"/>
    <w:rsid w:val="009D2E35"/>
    <w:rsid w:val="009D4FC5"/>
    <w:rsid w:val="009E1C42"/>
    <w:rsid w:val="009E6D4D"/>
    <w:rsid w:val="009F020F"/>
    <w:rsid w:val="009F219B"/>
    <w:rsid w:val="009F24E1"/>
    <w:rsid w:val="009F57BE"/>
    <w:rsid w:val="00A012E3"/>
    <w:rsid w:val="00A03CF9"/>
    <w:rsid w:val="00A366B4"/>
    <w:rsid w:val="00A3682D"/>
    <w:rsid w:val="00A4666F"/>
    <w:rsid w:val="00A46CEF"/>
    <w:rsid w:val="00A55078"/>
    <w:rsid w:val="00A64B64"/>
    <w:rsid w:val="00A6715F"/>
    <w:rsid w:val="00A756EC"/>
    <w:rsid w:val="00A75AC9"/>
    <w:rsid w:val="00A75E78"/>
    <w:rsid w:val="00A75EE9"/>
    <w:rsid w:val="00A77D06"/>
    <w:rsid w:val="00A86867"/>
    <w:rsid w:val="00A901A2"/>
    <w:rsid w:val="00AA0FE9"/>
    <w:rsid w:val="00AA2639"/>
    <w:rsid w:val="00AA2BDE"/>
    <w:rsid w:val="00AA3323"/>
    <w:rsid w:val="00AB7AA7"/>
    <w:rsid w:val="00AC3F12"/>
    <w:rsid w:val="00AC5FD5"/>
    <w:rsid w:val="00AC70C9"/>
    <w:rsid w:val="00AD49EC"/>
    <w:rsid w:val="00AD6754"/>
    <w:rsid w:val="00AE6BE5"/>
    <w:rsid w:val="00AF75BD"/>
    <w:rsid w:val="00B10BBF"/>
    <w:rsid w:val="00B11584"/>
    <w:rsid w:val="00B16082"/>
    <w:rsid w:val="00B227D3"/>
    <w:rsid w:val="00B233E6"/>
    <w:rsid w:val="00B33308"/>
    <w:rsid w:val="00B376C8"/>
    <w:rsid w:val="00B53728"/>
    <w:rsid w:val="00B549C4"/>
    <w:rsid w:val="00B62C1A"/>
    <w:rsid w:val="00B669CA"/>
    <w:rsid w:val="00B956B4"/>
    <w:rsid w:val="00BA1F22"/>
    <w:rsid w:val="00BA30AF"/>
    <w:rsid w:val="00BA5949"/>
    <w:rsid w:val="00BC1F72"/>
    <w:rsid w:val="00BC1FF0"/>
    <w:rsid w:val="00BC4192"/>
    <w:rsid w:val="00BD2CFE"/>
    <w:rsid w:val="00BE47C2"/>
    <w:rsid w:val="00BE797C"/>
    <w:rsid w:val="00BF2126"/>
    <w:rsid w:val="00BF5584"/>
    <w:rsid w:val="00BF5CE2"/>
    <w:rsid w:val="00C01DE4"/>
    <w:rsid w:val="00C036C8"/>
    <w:rsid w:val="00C04B9B"/>
    <w:rsid w:val="00C06242"/>
    <w:rsid w:val="00C10D67"/>
    <w:rsid w:val="00C244DA"/>
    <w:rsid w:val="00C25F4C"/>
    <w:rsid w:val="00C33BA9"/>
    <w:rsid w:val="00C47CB9"/>
    <w:rsid w:val="00C51539"/>
    <w:rsid w:val="00C5325D"/>
    <w:rsid w:val="00C64BFC"/>
    <w:rsid w:val="00C66951"/>
    <w:rsid w:val="00C828E6"/>
    <w:rsid w:val="00C838E4"/>
    <w:rsid w:val="00C947F8"/>
    <w:rsid w:val="00C954E8"/>
    <w:rsid w:val="00C96979"/>
    <w:rsid w:val="00CB312F"/>
    <w:rsid w:val="00CD68F7"/>
    <w:rsid w:val="00CE11C8"/>
    <w:rsid w:val="00CE42C1"/>
    <w:rsid w:val="00CE447D"/>
    <w:rsid w:val="00CE5523"/>
    <w:rsid w:val="00CE5792"/>
    <w:rsid w:val="00CE5A87"/>
    <w:rsid w:val="00D00AD4"/>
    <w:rsid w:val="00D065FA"/>
    <w:rsid w:val="00D103A0"/>
    <w:rsid w:val="00D121F2"/>
    <w:rsid w:val="00D23538"/>
    <w:rsid w:val="00D30957"/>
    <w:rsid w:val="00D372CC"/>
    <w:rsid w:val="00D4372D"/>
    <w:rsid w:val="00D500E0"/>
    <w:rsid w:val="00D50FB8"/>
    <w:rsid w:val="00D53617"/>
    <w:rsid w:val="00D64B8C"/>
    <w:rsid w:val="00D66D87"/>
    <w:rsid w:val="00D67F9C"/>
    <w:rsid w:val="00D750F7"/>
    <w:rsid w:val="00D75397"/>
    <w:rsid w:val="00D84797"/>
    <w:rsid w:val="00D90D14"/>
    <w:rsid w:val="00D9343C"/>
    <w:rsid w:val="00D95CFC"/>
    <w:rsid w:val="00DA2777"/>
    <w:rsid w:val="00DA45AB"/>
    <w:rsid w:val="00DB6548"/>
    <w:rsid w:val="00DB7004"/>
    <w:rsid w:val="00DC54A2"/>
    <w:rsid w:val="00DC6185"/>
    <w:rsid w:val="00DD31AB"/>
    <w:rsid w:val="00DD4FCF"/>
    <w:rsid w:val="00DE68FA"/>
    <w:rsid w:val="00DF49AB"/>
    <w:rsid w:val="00DF5586"/>
    <w:rsid w:val="00E010F7"/>
    <w:rsid w:val="00E100FD"/>
    <w:rsid w:val="00E14BBA"/>
    <w:rsid w:val="00E23538"/>
    <w:rsid w:val="00E2409E"/>
    <w:rsid w:val="00E24CE6"/>
    <w:rsid w:val="00E346BA"/>
    <w:rsid w:val="00E40ABD"/>
    <w:rsid w:val="00E440A0"/>
    <w:rsid w:val="00E4535C"/>
    <w:rsid w:val="00E50E75"/>
    <w:rsid w:val="00E51063"/>
    <w:rsid w:val="00E53599"/>
    <w:rsid w:val="00E576B0"/>
    <w:rsid w:val="00E63FE7"/>
    <w:rsid w:val="00E64F87"/>
    <w:rsid w:val="00E66A54"/>
    <w:rsid w:val="00E73CDB"/>
    <w:rsid w:val="00E74883"/>
    <w:rsid w:val="00E75FDE"/>
    <w:rsid w:val="00E92382"/>
    <w:rsid w:val="00EB300B"/>
    <w:rsid w:val="00EB3977"/>
    <w:rsid w:val="00EC6EA2"/>
    <w:rsid w:val="00EC77B9"/>
    <w:rsid w:val="00ED2A53"/>
    <w:rsid w:val="00ED6DB4"/>
    <w:rsid w:val="00EE190A"/>
    <w:rsid w:val="00EF33A0"/>
    <w:rsid w:val="00EF7562"/>
    <w:rsid w:val="00F01805"/>
    <w:rsid w:val="00F01A5A"/>
    <w:rsid w:val="00F20E41"/>
    <w:rsid w:val="00F21524"/>
    <w:rsid w:val="00F26143"/>
    <w:rsid w:val="00F261B1"/>
    <w:rsid w:val="00F26376"/>
    <w:rsid w:val="00F26DD1"/>
    <w:rsid w:val="00F317A8"/>
    <w:rsid w:val="00F34DB4"/>
    <w:rsid w:val="00F40EFF"/>
    <w:rsid w:val="00F42CE1"/>
    <w:rsid w:val="00F47CC9"/>
    <w:rsid w:val="00F61614"/>
    <w:rsid w:val="00F74D56"/>
    <w:rsid w:val="00FB77B4"/>
    <w:rsid w:val="00FC529F"/>
    <w:rsid w:val="00FC59A8"/>
    <w:rsid w:val="00FC6403"/>
    <w:rsid w:val="00FD4F45"/>
    <w:rsid w:val="00FE02CF"/>
    <w:rsid w:val="00FE4A18"/>
    <w:rsid w:val="00FE6AF6"/>
    <w:rsid w:val="00FF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2DE490"/>
  <w15:chartTrackingRefBased/>
  <w15:docId w15:val="{3EDC6910-A352-2F41-B1A7-9CC34E56A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F4C"/>
    <w:pPr>
      <w:spacing w:before="120" w:after="120" w:line="360" w:lineRule="auto"/>
      <w:ind w:left="357"/>
      <w:jc w:val="both"/>
    </w:pPr>
    <w:rPr>
      <w:rFonts w:ascii="Arial" w:eastAsia="Times New Roman" w:hAnsi="Arial" w:cs="Calibri (Corpo)"/>
      <w:lang w:eastAsia="pt-B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5C75"/>
    <w:pPr>
      <w:keepNext/>
      <w:keepLines/>
      <w:numPr>
        <w:numId w:val="1"/>
      </w:numPr>
      <w:spacing w:before="240" w:line="240" w:lineRule="auto"/>
      <w:contextualSpacing/>
      <w:jc w:val="left"/>
      <w:outlineLvl w:val="0"/>
    </w:pPr>
    <w:rPr>
      <w:rFonts w:eastAsiaTheme="majorEastAsia" w:cs="Times New Roman (Títulos CS)"/>
      <w:b/>
      <w:caps/>
      <w:color w:val="2F5496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726D3"/>
    <w:pPr>
      <w:numPr>
        <w:ilvl w:val="1"/>
      </w:numPr>
      <w:spacing w:before="40" w:after="0"/>
      <w:ind w:left="1140"/>
      <w:outlineLvl w:val="1"/>
    </w:pPr>
    <w:rPr>
      <w:rFonts w:cs="Bona Nova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15C75"/>
    <w:pPr>
      <w:numPr>
        <w:ilvl w:val="2"/>
      </w:numPr>
      <w:ind w:left="1728"/>
      <w:outlineLvl w:val="2"/>
    </w:pPr>
    <w:rPr>
      <w:rFonts w:cstheme="minorHAnsi"/>
      <w:b w:val="0"/>
      <w:b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263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1E2"/>
  </w:style>
  <w:style w:type="paragraph" w:styleId="Footer">
    <w:name w:val="footer"/>
    <w:basedOn w:val="Normal"/>
    <w:link w:val="Foot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1E2"/>
  </w:style>
  <w:style w:type="paragraph" w:styleId="NoSpacing">
    <w:name w:val="No Spacing"/>
    <w:uiPriority w:val="1"/>
    <w:qFormat/>
    <w:rsid w:val="00E010F7"/>
    <w:rPr>
      <w:rFonts w:eastAsiaTheme="minorEastAsia"/>
      <w:sz w:val="22"/>
      <w:szCs w:val="22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315C75"/>
    <w:rPr>
      <w:rFonts w:ascii="Arial" w:eastAsiaTheme="majorEastAsia" w:hAnsi="Arial" w:cs="Times New Roman (Títulos CS)"/>
      <w:b/>
      <w:caps/>
      <w:color w:val="2F5496" w:themeColor="accent1" w:themeShade="BF"/>
      <w:sz w:val="32"/>
      <w:szCs w:val="32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F317A8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D219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726D3"/>
    <w:rPr>
      <w:rFonts w:ascii="Bona Nova" w:eastAsiaTheme="majorEastAsia" w:hAnsi="Bona Nova" w:cs="Bona Nova"/>
      <w:b/>
      <w:caps/>
      <w:color w:val="2F5496" w:themeColor="accent1" w:themeShade="BF"/>
      <w:sz w:val="26"/>
      <w:szCs w:val="26"/>
      <w:lang w:eastAsia="pt-BR"/>
    </w:rPr>
  </w:style>
  <w:style w:type="character" w:customStyle="1" w:styleId="Heading3Char">
    <w:name w:val="Heading 3 Char"/>
    <w:basedOn w:val="DefaultParagraphFont"/>
    <w:link w:val="Heading3"/>
    <w:uiPriority w:val="9"/>
    <w:rsid w:val="00315C75"/>
    <w:rPr>
      <w:rFonts w:ascii="Arial" w:eastAsiaTheme="majorEastAsia" w:hAnsi="Arial" w:cstheme="minorHAnsi"/>
      <w:bCs/>
      <w:caps/>
      <w:color w:val="2F5496" w:themeColor="accent1" w:themeShade="BF"/>
      <w:sz w:val="26"/>
      <w:szCs w:val="26"/>
      <w:lang w:eastAsia="pt-BR"/>
    </w:rPr>
  </w:style>
  <w:style w:type="character" w:styleId="Hyperlink">
    <w:name w:val="Hyperlink"/>
    <w:basedOn w:val="DefaultParagraphFont"/>
    <w:uiPriority w:val="99"/>
    <w:unhideWhenUsed/>
    <w:rsid w:val="001F02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0256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66539"/>
  </w:style>
  <w:style w:type="character" w:styleId="FollowedHyperlink">
    <w:name w:val="FollowedHyperlink"/>
    <w:basedOn w:val="DefaultParagraphFont"/>
    <w:uiPriority w:val="99"/>
    <w:semiHidden/>
    <w:unhideWhenUsed/>
    <w:rsid w:val="000710A7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2639"/>
    <w:rPr>
      <w:rFonts w:asciiTheme="majorHAnsi" w:eastAsiaTheme="majorEastAsia" w:hAnsiTheme="majorHAnsi" w:cstheme="majorBidi"/>
      <w:color w:val="2F5496" w:themeColor="accent1" w:themeShade="BF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1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9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99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2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3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3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6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8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6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01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02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9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16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4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8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arlosheitorcampani.com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00318B-902E-EA45-A367-C831F64E1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1147</Words>
  <Characters>6540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Heitor Campani</dc:creator>
  <cp:keywords/>
  <dc:description/>
  <cp:lastModifiedBy>Carlos Heitor Campani</cp:lastModifiedBy>
  <cp:revision>2</cp:revision>
  <dcterms:created xsi:type="dcterms:W3CDTF">2023-05-18T17:29:00Z</dcterms:created>
  <dcterms:modified xsi:type="dcterms:W3CDTF">2023-05-18T17:29:00Z</dcterms:modified>
</cp:coreProperties>
</file>